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631" w14:textId="6C8535F7" w:rsidR="00B06F7F" w:rsidRDefault="00B06F7F">
      <w:pPr>
        <w:pStyle w:val="BodyText"/>
        <w:ind w:left="117"/>
        <w:rPr>
          <w:rFonts w:ascii="Times New Roman"/>
          <w:sz w:val="20"/>
        </w:rPr>
      </w:pPr>
    </w:p>
    <w:p w14:paraId="7D85D906" w14:textId="77777777" w:rsidR="00B3075C" w:rsidRPr="00B3075C" w:rsidRDefault="00B3075C" w:rsidP="00B3075C">
      <w:pPr>
        <w:widowControl/>
        <w:autoSpaceDE/>
        <w:autoSpaceDN/>
        <w:spacing w:after="160" w:line="259" w:lineRule="auto"/>
        <w:contextualSpacing/>
        <w:rPr>
          <w:rFonts w:eastAsia="Calibri"/>
          <w:b/>
          <w:bCs/>
          <w:lang w:eastAsia="en-US" w:bidi="ar-SA"/>
        </w:rPr>
      </w:pPr>
      <w:r w:rsidRPr="00B3075C">
        <w:rPr>
          <w:rFonts w:eastAsia="Calibri"/>
          <w:b/>
          <w:bCs/>
          <w:lang w:eastAsia="en-US" w:bidi="ar-SA"/>
        </w:rPr>
        <w:t>We welcome responses from our regulated entities, consumers of legal services, organisations which represent the interests of consumers and other stakeholders including members of our regulated community, other frontline regulators, and other interested parties.</w:t>
      </w:r>
    </w:p>
    <w:p w14:paraId="6B207F96" w14:textId="77777777" w:rsidR="00B06F7F" w:rsidRPr="00B118CC" w:rsidRDefault="00B06F7F">
      <w:pPr>
        <w:pStyle w:val="BodyText"/>
        <w:rPr>
          <w:sz w:val="20"/>
        </w:rPr>
      </w:pPr>
    </w:p>
    <w:p w14:paraId="38F508F7" w14:textId="3EC6D853" w:rsidR="001215CC" w:rsidRPr="001215CC" w:rsidRDefault="001215CC" w:rsidP="001215CC">
      <w:pPr>
        <w:widowControl/>
        <w:autoSpaceDE/>
        <w:autoSpaceDN/>
        <w:spacing w:after="160" w:line="259" w:lineRule="auto"/>
        <w:rPr>
          <w:rFonts w:eastAsia="Calibri"/>
          <w:lang w:eastAsia="en-US" w:bidi="ar-SA"/>
        </w:rPr>
      </w:pPr>
      <w:r w:rsidRPr="001215CC">
        <w:rPr>
          <w:rFonts w:eastAsia="Calibri"/>
          <w:b/>
          <w:color w:val="2F5496"/>
          <w:sz w:val="24"/>
          <w:szCs w:val="24"/>
          <w:lang w:eastAsia="en-US" w:bidi="ar-SA"/>
        </w:rPr>
        <w:t xml:space="preserve">Consultation: </w:t>
      </w:r>
      <w:r w:rsidR="003A3316">
        <w:rPr>
          <w:rFonts w:eastAsia="Calibri"/>
          <w:b/>
          <w:color w:val="2F5496"/>
          <w:sz w:val="24"/>
          <w:szCs w:val="24"/>
          <w:lang w:eastAsia="en-US" w:bidi="ar-SA"/>
        </w:rPr>
        <w:t xml:space="preserve">to </w:t>
      </w:r>
      <w:bookmarkStart w:id="0" w:name="_Hlk74656148"/>
      <w:r w:rsidR="00141C96">
        <w:rPr>
          <w:rFonts w:eastAsia="Calibri"/>
          <w:b/>
          <w:color w:val="2F5496"/>
          <w:sz w:val="24"/>
          <w:szCs w:val="24"/>
          <w:lang w:eastAsia="en-US" w:bidi="ar-SA"/>
        </w:rPr>
        <w:t xml:space="preserve">make interim amendments to the CILEX Compensation </w:t>
      </w:r>
      <w:r w:rsidR="002B5F85">
        <w:rPr>
          <w:rFonts w:eastAsia="Calibri"/>
          <w:b/>
          <w:color w:val="2F5496"/>
          <w:sz w:val="24"/>
          <w:szCs w:val="24"/>
          <w:lang w:eastAsia="en-US" w:bidi="ar-SA"/>
        </w:rPr>
        <w:t xml:space="preserve">Arrangements </w:t>
      </w:r>
      <w:r w:rsidR="00141C96">
        <w:rPr>
          <w:rFonts w:eastAsia="Calibri"/>
          <w:b/>
          <w:color w:val="2F5496"/>
          <w:sz w:val="24"/>
          <w:szCs w:val="24"/>
          <w:lang w:eastAsia="en-US" w:bidi="ar-SA"/>
        </w:rPr>
        <w:t>Rules</w:t>
      </w:r>
      <w:r w:rsidR="003A3316">
        <w:rPr>
          <w:rFonts w:eastAsia="Calibri"/>
          <w:b/>
          <w:color w:val="2F5496"/>
          <w:sz w:val="24"/>
          <w:szCs w:val="24"/>
          <w:lang w:eastAsia="en-US" w:bidi="ar-SA"/>
        </w:rPr>
        <w:t>.</w:t>
      </w:r>
      <w:bookmarkEnd w:id="0"/>
      <w:r w:rsidRPr="001215CC">
        <w:rPr>
          <w:rFonts w:eastAsia="Calibri"/>
          <w:lang w:eastAsia="en-US" w:bidi="ar-SA"/>
        </w:rPr>
        <w:t xml:space="preserve"> </w:t>
      </w:r>
    </w:p>
    <w:p w14:paraId="2B65C4A2" w14:textId="72BC17BD" w:rsidR="001215CC" w:rsidRPr="001215CC" w:rsidRDefault="001215CC" w:rsidP="001215CC">
      <w:pPr>
        <w:widowControl/>
        <w:numPr>
          <w:ilvl w:val="0"/>
          <w:numId w:val="1"/>
        </w:numPr>
        <w:autoSpaceDE/>
        <w:autoSpaceDN/>
        <w:spacing w:after="160" w:line="259" w:lineRule="auto"/>
        <w:contextualSpacing/>
        <w:rPr>
          <w:rFonts w:eastAsia="Calibri"/>
          <w:lang w:eastAsia="en-US" w:bidi="ar-SA"/>
        </w:rPr>
      </w:pPr>
      <w:r w:rsidRPr="001215CC">
        <w:rPr>
          <w:rFonts w:eastAsia="Calibri"/>
          <w:lang w:eastAsia="en-US" w:bidi="ar-SA"/>
        </w:rPr>
        <w:t>CILEx Regulation is the independent regulator for Chartered Legal Executives, other grades of CILE</w:t>
      </w:r>
      <w:r w:rsidR="00141C96">
        <w:rPr>
          <w:rFonts w:eastAsia="Calibri"/>
          <w:lang w:eastAsia="en-US" w:bidi="ar-SA"/>
        </w:rPr>
        <w:t>X</w:t>
      </w:r>
      <w:r w:rsidRPr="001215CC">
        <w:rPr>
          <w:rFonts w:eastAsia="Calibri"/>
          <w:lang w:eastAsia="en-US" w:bidi="ar-SA"/>
        </w:rPr>
        <w:t xml:space="preserve"> membership, CILE</w:t>
      </w:r>
      <w:r w:rsidR="00141C96">
        <w:rPr>
          <w:rFonts w:eastAsia="Calibri"/>
          <w:lang w:eastAsia="en-US" w:bidi="ar-SA"/>
        </w:rPr>
        <w:t>X</w:t>
      </w:r>
      <w:r w:rsidRPr="001215CC">
        <w:rPr>
          <w:rFonts w:eastAsia="Calibri"/>
          <w:lang w:eastAsia="en-US" w:bidi="ar-SA"/>
        </w:rPr>
        <w:t xml:space="preserve"> Practitioners and firms. We take a risk based and outcomes focused approach to regulation, by working constructively with our regulated community to ensure that they deliver the best outcomes for clients. We have set clear principles within our Code of Conduct and inform the public of the standards they can expect. We believe this provides a balanced approach. </w:t>
      </w:r>
    </w:p>
    <w:p w14:paraId="7A35555D" w14:textId="77777777" w:rsidR="001215CC" w:rsidRPr="001215CC" w:rsidRDefault="001215CC" w:rsidP="001215CC">
      <w:pPr>
        <w:widowControl/>
        <w:autoSpaceDE/>
        <w:autoSpaceDN/>
        <w:spacing w:after="160" w:line="259" w:lineRule="auto"/>
        <w:ind w:left="720"/>
        <w:contextualSpacing/>
        <w:rPr>
          <w:rFonts w:eastAsia="Calibri"/>
          <w:lang w:eastAsia="en-US" w:bidi="ar-SA"/>
        </w:rPr>
      </w:pPr>
    </w:p>
    <w:p w14:paraId="7D4827E3" w14:textId="11279CC1" w:rsidR="00C81EEB" w:rsidRDefault="001215CC" w:rsidP="00C81EEB">
      <w:pPr>
        <w:widowControl/>
        <w:numPr>
          <w:ilvl w:val="0"/>
          <w:numId w:val="1"/>
        </w:numPr>
        <w:autoSpaceDE/>
        <w:autoSpaceDN/>
        <w:spacing w:after="160" w:line="259" w:lineRule="auto"/>
        <w:contextualSpacing/>
        <w:rPr>
          <w:rFonts w:eastAsia="Calibri"/>
          <w:lang w:eastAsia="en-US" w:bidi="ar-SA"/>
        </w:rPr>
      </w:pPr>
      <w:r w:rsidRPr="00C81EEB">
        <w:rPr>
          <w:rFonts w:eastAsia="Calibri"/>
          <w:lang w:eastAsia="en-US" w:bidi="ar-SA"/>
        </w:rPr>
        <w:t xml:space="preserve">The purpose of this consultation is to set out our proposal to </w:t>
      </w:r>
      <w:r w:rsidR="003A3316" w:rsidRPr="00C81EEB">
        <w:rPr>
          <w:rFonts w:eastAsia="Calibri"/>
          <w:lang w:eastAsia="en-US" w:bidi="ar-SA"/>
        </w:rPr>
        <w:t xml:space="preserve">amend the </w:t>
      </w:r>
      <w:r w:rsidR="00141C96" w:rsidRPr="00C81EEB">
        <w:rPr>
          <w:rFonts w:eastAsia="Calibri"/>
          <w:lang w:eastAsia="en-US" w:bidi="ar-SA"/>
        </w:rPr>
        <w:t xml:space="preserve">CILEX Compensation </w:t>
      </w:r>
      <w:r w:rsidR="00C42568" w:rsidRPr="00C81EEB">
        <w:rPr>
          <w:rFonts w:eastAsia="Calibri"/>
          <w:lang w:eastAsia="en-US" w:bidi="ar-SA"/>
        </w:rPr>
        <w:t>Arrangements</w:t>
      </w:r>
      <w:r w:rsidR="003A3316" w:rsidRPr="00C81EEB">
        <w:rPr>
          <w:rFonts w:eastAsia="Calibri"/>
          <w:lang w:eastAsia="en-US" w:bidi="ar-SA"/>
        </w:rPr>
        <w:t xml:space="preserve"> Rules </w:t>
      </w:r>
      <w:r w:rsidR="00141C96" w:rsidRPr="00C81EEB">
        <w:rPr>
          <w:rFonts w:eastAsia="Calibri"/>
          <w:lang w:eastAsia="en-US" w:bidi="ar-SA"/>
        </w:rPr>
        <w:t>following the decision of our insurer to end cover with effect from 2 September 2021</w:t>
      </w:r>
      <w:r w:rsidRPr="00C81EEB">
        <w:rPr>
          <w:rFonts w:eastAsia="Calibri"/>
          <w:lang w:eastAsia="en-US" w:bidi="ar-SA"/>
        </w:rPr>
        <w:t xml:space="preserve">. </w:t>
      </w:r>
    </w:p>
    <w:p w14:paraId="37B547D8" w14:textId="77777777" w:rsidR="00FE4387" w:rsidRDefault="00FE4387" w:rsidP="00FE4387">
      <w:pPr>
        <w:widowControl/>
        <w:autoSpaceDE/>
        <w:autoSpaceDN/>
        <w:spacing w:after="160" w:line="259" w:lineRule="auto"/>
        <w:contextualSpacing/>
        <w:rPr>
          <w:rFonts w:eastAsia="Calibri"/>
          <w:lang w:eastAsia="en-US" w:bidi="ar-SA"/>
        </w:rPr>
      </w:pPr>
    </w:p>
    <w:p w14:paraId="565F3099" w14:textId="42FE56C3" w:rsidR="00FE4387" w:rsidRPr="00D95E92" w:rsidRDefault="00FE4387" w:rsidP="00FE4387">
      <w:pPr>
        <w:rPr>
          <w:b/>
          <w:bCs/>
          <w:i/>
          <w:iCs/>
          <w:color w:val="365F91" w:themeColor="accent1" w:themeShade="BF"/>
        </w:rPr>
      </w:pPr>
      <w:r w:rsidRPr="00D95E92">
        <w:rPr>
          <w:b/>
          <w:bCs/>
          <w:i/>
          <w:iCs/>
          <w:color w:val="365F91" w:themeColor="accent1" w:themeShade="BF"/>
        </w:rPr>
        <w:t xml:space="preserve">Summary of </w:t>
      </w:r>
      <w:r w:rsidR="00846480">
        <w:rPr>
          <w:b/>
          <w:bCs/>
          <w:i/>
          <w:iCs/>
          <w:color w:val="365F91" w:themeColor="accent1" w:themeShade="BF"/>
        </w:rPr>
        <w:t xml:space="preserve">proposed interim </w:t>
      </w:r>
      <w:r w:rsidRPr="00D95E92">
        <w:rPr>
          <w:b/>
          <w:bCs/>
          <w:i/>
          <w:iCs/>
          <w:color w:val="365F91" w:themeColor="accent1" w:themeShade="BF"/>
        </w:rPr>
        <w:t>changes</w:t>
      </w:r>
    </w:p>
    <w:p w14:paraId="1CD85099" w14:textId="77777777" w:rsidR="00FE4387" w:rsidRPr="00D95E92" w:rsidRDefault="00FE4387" w:rsidP="00FE4387">
      <w:pPr>
        <w:rPr>
          <w:b/>
          <w:bCs/>
          <w:i/>
          <w:iCs/>
          <w:color w:val="365F91" w:themeColor="accent1" w:themeShade="BF"/>
        </w:rPr>
      </w:pPr>
    </w:p>
    <w:tbl>
      <w:tblPr>
        <w:tblStyle w:val="TableGrid"/>
        <w:tblW w:w="0" w:type="auto"/>
        <w:tblLook w:val="04A0" w:firstRow="1" w:lastRow="0" w:firstColumn="1" w:lastColumn="0" w:noHBand="0" w:noVBand="1"/>
      </w:tblPr>
      <w:tblGrid>
        <w:gridCol w:w="2240"/>
        <w:gridCol w:w="2761"/>
        <w:gridCol w:w="2869"/>
        <w:gridCol w:w="2643"/>
      </w:tblGrid>
      <w:tr w:rsidR="00FE4387" w14:paraId="77DA648D" w14:textId="77777777" w:rsidTr="007A4BAD">
        <w:tc>
          <w:tcPr>
            <w:tcW w:w="2240" w:type="dxa"/>
          </w:tcPr>
          <w:p w14:paraId="3198D074" w14:textId="77777777" w:rsidR="00FE4387" w:rsidRDefault="00FE4387" w:rsidP="007A4BAD"/>
        </w:tc>
        <w:tc>
          <w:tcPr>
            <w:tcW w:w="2761" w:type="dxa"/>
          </w:tcPr>
          <w:p w14:paraId="4E81C7EF" w14:textId="77777777" w:rsidR="00FE4387" w:rsidRPr="007866B8" w:rsidRDefault="00FE4387" w:rsidP="007A4BAD">
            <w:pPr>
              <w:rPr>
                <w:b/>
                <w:bCs/>
              </w:rPr>
            </w:pPr>
            <w:r w:rsidRPr="007866B8">
              <w:rPr>
                <w:b/>
                <w:bCs/>
              </w:rPr>
              <w:t>Current arrangements</w:t>
            </w:r>
          </w:p>
        </w:tc>
        <w:tc>
          <w:tcPr>
            <w:tcW w:w="2869" w:type="dxa"/>
          </w:tcPr>
          <w:p w14:paraId="63DFF4D6" w14:textId="77777777" w:rsidR="00FE4387" w:rsidRPr="007866B8" w:rsidRDefault="00FE4387" w:rsidP="007A4BAD">
            <w:pPr>
              <w:rPr>
                <w:b/>
                <w:bCs/>
              </w:rPr>
            </w:pPr>
            <w:r w:rsidRPr="007866B8">
              <w:rPr>
                <w:b/>
                <w:bCs/>
              </w:rPr>
              <w:t>Actuary recommendation</w:t>
            </w:r>
          </w:p>
        </w:tc>
        <w:tc>
          <w:tcPr>
            <w:tcW w:w="2643" w:type="dxa"/>
          </w:tcPr>
          <w:p w14:paraId="21C0ADDB" w14:textId="77777777" w:rsidR="00FE4387" w:rsidRPr="007866B8" w:rsidRDefault="00FE4387" w:rsidP="007A4BAD">
            <w:pPr>
              <w:rPr>
                <w:b/>
                <w:bCs/>
              </w:rPr>
            </w:pPr>
            <w:r w:rsidRPr="007866B8">
              <w:rPr>
                <w:b/>
                <w:bCs/>
              </w:rPr>
              <w:t>CILEx Regulation proposal for change</w:t>
            </w:r>
          </w:p>
        </w:tc>
      </w:tr>
      <w:tr w:rsidR="00FE4387" w14:paraId="2DE8ABEF" w14:textId="77777777" w:rsidTr="007A4BAD">
        <w:tc>
          <w:tcPr>
            <w:tcW w:w="2240" w:type="dxa"/>
          </w:tcPr>
          <w:p w14:paraId="105065B1" w14:textId="77777777" w:rsidR="00FE4387" w:rsidRPr="007866B8" w:rsidRDefault="00FE4387" w:rsidP="007A4BAD">
            <w:pPr>
              <w:rPr>
                <w:b/>
                <w:bCs/>
              </w:rPr>
            </w:pPr>
            <w:r w:rsidRPr="007866B8">
              <w:rPr>
                <w:b/>
                <w:bCs/>
              </w:rPr>
              <w:t>Individual limit</w:t>
            </w:r>
          </w:p>
        </w:tc>
        <w:tc>
          <w:tcPr>
            <w:tcW w:w="2761" w:type="dxa"/>
          </w:tcPr>
          <w:p w14:paraId="775A0380" w14:textId="77777777" w:rsidR="00FE4387" w:rsidRDefault="00FE4387" w:rsidP="007A4BAD">
            <w:r>
              <w:t>£500,000</w:t>
            </w:r>
          </w:p>
        </w:tc>
        <w:tc>
          <w:tcPr>
            <w:tcW w:w="2869" w:type="dxa"/>
          </w:tcPr>
          <w:p w14:paraId="53453B49" w14:textId="77777777" w:rsidR="00FE4387" w:rsidRDefault="00FE4387" w:rsidP="007A4BAD">
            <w:r>
              <w:t>£250,000 (probate and conveyancing claims)</w:t>
            </w:r>
          </w:p>
          <w:p w14:paraId="22004E0A" w14:textId="77777777" w:rsidR="00FE4387" w:rsidRDefault="00FE4387" w:rsidP="007A4BAD">
            <w:r>
              <w:t>£10,000 (all other areas of practice</w:t>
            </w:r>
          </w:p>
        </w:tc>
        <w:tc>
          <w:tcPr>
            <w:tcW w:w="2643" w:type="dxa"/>
          </w:tcPr>
          <w:p w14:paraId="00BEAC67" w14:textId="77777777" w:rsidR="00FE4387" w:rsidRDefault="00FE4387" w:rsidP="007A4BAD">
            <w:r>
              <w:t>£500,000</w:t>
            </w:r>
          </w:p>
        </w:tc>
      </w:tr>
      <w:tr w:rsidR="00FE4387" w14:paraId="7DF400CC" w14:textId="77777777" w:rsidTr="007A4BAD">
        <w:tc>
          <w:tcPr>
            <w:tcW w:w="2240" w:type="dxa"/>
          </w:tcPr>
          <w:p w14:paraId="5218B25C" w14:textId="77777777" w:rsidR="00FE4387" w:rsidRPr="007866B8" w:rsidRDefault="00FE4387" w:rsidP="007A4BAD">
            <w:pPr>
              <w:rPr>
                <w:b/>
                <w:bCs/>
              </w:rPr>
            </w:pPr>
            <w:r w:rsidRPr="007866B8">
              <w:rPr>
                <w:b/>
                <w:bCs/>
              </w:rPr>
              <w:t>Firm aggregate</w:t>
            </w:r>
          </w:p>
        </w:tc>
        <w:tc>
          <w:tcPr>
            <w:tcW w:w="2761" w:type="dxa"/>
          </w:tcPr>
          <w:p w14:paraId="187F6427" w14:textId="77777777" w:rsidR="00FE4387" w:rsidRDefault="00FE4387" w:rsidP="007A4BAD">
            <w:r>
              <w:t>£2m</w:t>
            </w:r>
          </w:p>
        </w:tc>
        <w:tc>
          <w:tcPr>
            <w:tcW w:w="2869" w:type="dxa"/>
          </w:tcPr>
          <w:p w14:paraId="6A31FD8A" w14:textId="77777777" w:rsidR="00FE4387" w:rsidRDefault="00FE4387" w:rsidP="007A4BAD">
            <w:r>
              <w:t>£250,000</w:t>
            </w:r>
          </w:p>
        </w:tc>
        <w:tc>
          <w:tcPr>
            <w:tcW w:w="2643" w:type="dxa"/>
          </w:tcPr>
          <w:p w14:paraId="1AD87B04" w14:textId="77777777" w:rsidR="00FE4387" w:rsidRDefault="00FE4387" w:rsidP="007A4BAD">
            <w:r>
              <w:t>£500,000</w:t>
            </w:r>
          </w:p>
        </w:tc>
      </w:tr>
      <w:tr w:rsidR="00FE4387" w14:paraId="344C0534" w14:textId="77777777" w:rsidTr="007A4BAD">
        <w:tc>
          <w:tcPr>
            <w:tcW w:w="2240" w:type="dxa"/>
          </w:tcPr>
          <w:p w14:paraId="14CF82BB" w14:textId="77777777" w:rsidR="00FE4387" w:rsidRPr="007866B8" w:rsidRDefault="00FE4387" w:rsidP="007A4BAD">
            <w:pPr>
              <w:rPr>
                <w:b/>
                <w:bCs/>
              </w:rPr>
            </w:pPr>
            <w:r w:rsidRPr="007866B8">
              <w:rPr>
                <w:b/>
                <w:bCs/>
              </w:rPr>
              <w:t xml:space="preserve">Total fund </w:t>
            </w:r>
          </w:p>
        </w:tc>
        <w:tc>
          <w:tcPr>
            <w:tcW w:w="2761" w:type="dxa"/>
          </w:tcPr>
          <w:p w14:paraId="77D6F3B5" w14:textId="77777777" w:rsidR="00FE4387" w:rsidRDefault="00FE4387" w:rsidP="007A4BAD">
            <w:r>
              <w:t>£6m</w:t>
            </w:r>
          </w:p>
        </w:tc>
        <w:tc>
          <w:tcPr>
            <w:tcW w:w="2869" w:type="dxa"/>
          </w:tcPr>
          <w:p w14:paraId="0C50544D" w14:textId="77777777" w:rsidR="00FE4387" w:rsidRDefault="00FE4387" w:rsidP="007A4BAD">
            <w:r>
              <w:t>£250,000</w:t>
            </w:r>
          </w:p>
        </w:tc>
        <w:tc>
          <w:tcPr>
            <w:tcW w:w="2643" w:type="dxa"/>
          </w:tcPr>
          <w:p w14:paraId="00BED708" w14:textId="77777777" w:rsidR="00FE4387" w:rsidRDefault="00FE4387" w:rsidP="007A4BAD">
            <w:r>
              <w:t>£500,000</w:t>
            </w:r>
          </w:p>
        </w:tc>
      </w:tr>
    </w:tbl>
    <w:p w14:paraId="637077AD" w14:textId="77777777" w:rsidR="00FE4387" w:rsidRDefault="00FE4387" w:rsidP="00FE4387"/>
    <w:p w14:paraId="6CAC20BE" w14:textId="77777777" w:rsidR="00FE4387" w:rsidRDefault="00FE4387" w:rsidP="00FE4387">
      <w:pPr>
        <w:pStyle w:val="ListParagraph"/>
        <w:numPr>
          <w:ilvl w:val="0"/>
          <w:numId w:val="13"/>
        </w:numPr>
      </w:pPr>
      <w:r>
        <w:t>We are proposing to keep the maximum individual discretionary grant at £500,000.</w:t>
      </w:r>
    </w:p>
    <w:p w14:paraId="227108F8" w14:textId="77777777" w:rsidR="00FE4387" w:rsidRDefault="00FE4387" w:rsidP="00FE4387">
      <w:pPr>
        <w:pStyle w:val="ListParagraph"/>
        <w:numPr>
          <w:ilvl w:val="0"/>
          <w:numId w:val="13"/>
        </w:numPr>
      </w:pPr>
      <w:r>
        <w:t xml:space="preserve">This maintains the current maximum for an individual claim and therefore provides continuity for the consumer. </w:t>
      </w:r>
    </w:p>
    <w:p w14:paraId="2EC371F0" w14:textId="3346A2CF" w:rsidR="001215CC" w:rsidRPr="00F21D35" w:rsidRDefault="00FE4387" w:rsidP="00096F44">
      <w:pPr>
        <w:pStyle w:val="ListParagraph"/>
        <w:widowControl/>
        <w:numPr>
          <w:ilvl w:val="0"/>
          <w:numId w:val="13"/>
        </w:numPr>
        <w:autoSpaceDE/>
        <w:autoSpaceDN/>
        <w:spacing w:after="160" w:line="259" w:lineRule="auto"/>
        <w:contextualSpacing/>
        <w:rPr>
          <w:rFonts w:eastAsia="Calibri"/>
          <w:lang w:eastAsia="en-US" w:bidi="ar-SA"/>
        </w:rPr>
      </w:pPr>
      <w:r>
        <w:t>We have reduced the aggregate limits to cover one claim during the interim period. This is supported by the risk assessment provided in the actuarial report</w:t>
      </w:r>
      <w:r w:rsidR="00F21D35">
        <w:t xml:space="preserve"> (see Annex 2)</w:t>
      </w:r>
      <w:r>
        <w:t>.</w:t>
      </w:r>
    </w:p>
    <w:p w14:paraId="5E00F7F2" w14:textId="3D1D9938" w:rsidR="008E6B69" w:rsidRDefault="001215CC" w:rsidP="001215CC">
      <w:pPr>
        <w:widowControl/>
        <w:numPr>
          <w:ilvl w:val="0"/>
          <w:numId w:val="1"/>
        </w:numPr>
        <w:autoSpaceDE/>
        <w:autoSpaceDN/>
        <w:spacing w:after="160" w:line="259" w:lineRule="auto"/>
        <w:contextualSpacing/>
        <w:rPr>
          <w:rFonts w:eastAsia="Calibri"/>
          <w:lang w:eastAsia="en-US" w:bidi="ar-SA"/>
        </w:rPr>
      </w:pPr>
      <w:r w:rsidRPr="00E853BB">
        <w:rPr>
          <w:rFonts w:eastAsia="Calibri"/>
          <w:lang w:eastAsia="en-US" w:bidi="ar-SA"/>
        </w:rPr>
        <w:t xml:space="preserve">This consultation will run for </w:t>
      </w:r>
      <w:r w:rsidR="00322252">
        <w:rPr>
          <w:rFonts w:eastAsia="Calibri"/>
          <w:b/>
          <w:bCs/>
          <w:lang w:eastAsia="en-US" w:bidi="ar-SA"/>
        </w:rPr>
        <w:t>4</w:t>
      </w:r>
      <w:r w:rsidRPr="00447D4C">
        <w:rPr>
          <w:rFonts w:eastAsia="Calibri"/>
          <w:b/>
          <w:bCs/>
          <w:lang w:eastAsia="en-US" w:bidi="ar-SA"/>
        </w:rPr>
        <w:t xml:space="preserve"> weeks, from </w:t>
      </w:r>
      <w:r w:rsidR="00887A87" w:rsidRPr="00447D4C">
        <w:rPr>
          <w:rFonts w:eastAsia="Calibri"/>
          <w:b/>
          <w:bCs/>
          <w:lang w:eastAsia="en-US" w:bidi="ar-SA"/>
        </w:rPr>
        <w:t>16 July</w:t>
      </w:r>
      <w:r w:rsidR="003A3316" w:rsidRPr="00447D4C">
        <w:rPr>
          <w:rFonts w:eastAsia="Calibri"/>
          <w:b/>
          <w:bCs/>
          <w:lang w:eastAsia="en-US" w:bidi="ar-SA"/>
        </w:rPr>
        <w:t xml:space="preserve"> 2021</w:t>
      </w:r>
      <w:r w:rsidRPr="00447D4C">
        <w:rPr>
          <w:rFonts w:eastAsia="Calibri"/>
          <w:b/>
          <w:bCs/>
          <w:lang w:eastAsia="en-US" w:bidi="ar-SA"/>
        </w:rPr>
        <w:t xml:space="preserve">, closing at </w:t>
      </w:r>
      <w:r w:rsidR="00754F9C" w:rsidRPr="00447D4C">
        <w:rPr>
          <w:rFonts w:eastAsia="Calibri"/>
          <w:b/>
          <w:bCs/>
          <w:lang w:eastAsia="en-US" w:bidi="ar-SA"/>
        </w:rPr>
        <w:t>5</w:t>
      </w:r>
      <w:r w:rsidRPr="00447D4C">
        <w:rPr>
          <w:rFonts w:eastAsia="Calibri"/>
          <w:b/>
          <w:bCs/>
          <w:lang w:eastAsia="en-US" w:bidi="ar-SA"/>
        </w:rPr>
        <w:t xml:space="preserve">pm </w:t>
      </w:r>
      <w:bookmarkStart w:id="1" w:name="_Hlk516837034"/>
      <w:r w:rsidRPr="00447D4C">
        <w:rPr>
          <w:rFonts w:eastAsia="Calibri"/>
          <w:b/>
          <w:bCs/>
          <w:lang w:eastAsia="en-US" w:bidi="ar-SA"/>
        </w:rPr>
        <w:t xml:space="preserve">on </w:t>
      </w:r>
      <w:r w:rsidR="00322252">
        <w:rPr>
          <w:rFonts w:eastAsia="Calibri"/>
          <w:b/>
          <w:bCs/>
          <w:lang w:eastAsia="en-US" w:bidi="ar-SA"/>
        </w:rPr>
        <w:t>13 August</w:t>
      </w:r>
      <w:r w:rsidRPr="00447D4C">
        <w:rPr>
          <w:rFonts w:eastAsia="Calibri"/>
          <w:b/>
          <w:bCs/>
          <w:lang w:eastAsia="en-US" w:bidi="ar-SA"/>
        </w:rPr>
        <w:t xml:space="preserve"> 202</w:t>
      </w:r>
      <w:r w:rsidR="003A3316" w:rsidRPr="00447D4C">
        <w:rPr>
          <w:rFonts w:eastAsia="Calibri"/>
          <w:b/>
          <w:bCs/>
          <w:lang w:eastAsia="en-US" w:bidi="ar-SA"/>
        </w:rPr>
        <w:t>1</w:t>
      </w:r>
      <w:r w:rsidRPr="00E853BB">
        <w:rPr>
          <w:rFonts w:eastAsia="Calibri"/>
          <w:lang w:eastAsia="en-US" w:bidi="ar-SA"/>
        </w:rPr>
        <w:t xml:space="preserve">. </w:t>
      </w:r>
    </w:p>
    <w:p w14:paraId="6634D60E" w14:textId="77777777" w:rsidR="008E6B69" w:rsidRDefault="008E6B69" w:rsidP="008E6B69">
      <w:pPr>
        <w:pStyle w:val="ListParagraph"/>
        <w:rPr>
          <w:rFonts w:eastAsia="Calibri"/>
          <w:lang w:eastAsia="en-US" w:bidi="ar-SA"/>
        </w:rPr>
      </w:pPr>
    </w:p>
    <w:p w14:paraId="29666D1F" w14:textId="6CB5F145" w:rsidR="001215CC" w:rsidRPr="00E853BB" w:rsidRDefault="00F70F62" w:rsidP="001215CC">
      <w:pPr>
        <w:widowControl/>
        <w:numPr>
          <w:ilvl w:val="0"/>
          <w:numId w:val="1"/>
        </w:numPr>
        <w:autoSpaceDE/>
        <w:autoSpaceDN/>
        <w:spacing w:after="160" w:line="259" w:lineRule="auto"/>
        <w:contextualSpacing/>
        <w:rPr>
          <w:rFonts w:eastAsia="Calibri"/>
          <w:lang w:eastAsia="en-US" w:bidi="ar-SA"/>
        </w:rPr>
      </w:pPr>
      <w:r>
        <w:rPr>
          <w:rFonts w:eastAsia="Calibri"/>
          <w:lang w:eastAsia="en-US" w:bidi="ar-SA"/>
        </w:rPr>
        <w:t xml:space="preserve">We appreciate that this is a short timeframe to consult on these changes. However, </w:t>
      </w:r>
      <w:proofErr w:type="gramStart"/>
      <w:r w:rsidR="00717F3A">
        <w:rPr>
          <w:rFonts w:eastAsia="Calibri"/>
          <w:lang w:eastAsia="en-US" w:bidi="ar-SA"/>
        </w:rPr>
        <w:t>in order to</w:t>
      </w:r>
      <w:proofErr w:type="gramEnd"/>
      <w:r w:rsidR="00717F3A">
        <w:rPr>
          <w:rFonts w:eastAsia="Calibri"/>
          <w:lang w:eastAsia="en-US" w:bidi="ar-SA"/>
        </w:rPr>
        <w:t xml:space="preserve"> ensure that there is effective, continuous compensation cover for the clients of those firms that we regulate</w:t>
      </w:r>
      <w:r w:rsidR="008E6B69">
        <w:rPr>
          <w:rFonts w:eastAsia="Calibri"/>
          <w:lang w:eastAsia="en-US" w:bidi="ar-SA"/>
        </w:rPr>
        <w:t>,</w:t>
      </w:r>
      <w:r w:rsidR="00717F3A">
        <w:rPr>
          <w:rFonts w:eastAsia="Calibri"/>
          <w:lang w:eastAsia="en-US" w:bidi="ar-SA"/>
        </w:rPr>
        <w:t xml:space="preserve"> </w:t>
      </w:r>
      <w:r w:rsidR="004658FF">
        <w:rPr>
          <w:rFonts w:eastAsia="Calibri"/>
          <w:lang w:eastAsia="en-US" w:bidi="ar-SA"/>
        </w:rPr>
        <w:t>together with</w:t>
      </w:r>
      <w:r w:rsidR="00717F3A">
        <w:rPr>
          <w:rFonts w:eastAsia="Calibri"/>
          <w:lang w:eastAsia="en-US" w:bidi="ar-SA"/>
        </w:rPr>
        <w:t xml:space="preserve"> the </w:t>
      </w:r>
      <w:r w:rsidR="00EB47FE">
        <w:rPr>
          <w:rFonts w:eastAsia="Calibri"/>
          <w:lang w:eastAsia="en-US" w:bidi="ar-SA"/>
        </w:rPr>
        <w:t>short notice period provided by the insurer, we have chosen to reduce the window in which the consultation is open. We will actively seek the views of both the Legal Services Consumer Panel and the Competition and Markets Authority to ensure that their views are represented in the consultation responses.</w:t>
      </w:r>
    </w:p>
    <w:bookmarkEnd w:id="1"/>
    <w:p w14:paraId="1459BF6A" w14:textId="77777777" w:rsidR="00B06F7F" w:rsidRPr="00E853BB" w:rsidRDefault="00B06F7F">
      <w:pPr>
        <w:pStyle w:val="BodyText"/>
        <w:rPr>
          <w:sz w:val="22"/>
          <w:szCs w:val="22"/>
        </w:rPr>
      </w:pPr>
    </w:p>
    <w:p w14:paraId="440D7BF5" w14:textId="77777777" w:rsidR="00F21D35" w:rsidRDefault="00F21D35" w:rsidP="005E66FF">
      <w:pPr>
        <w:widowControl/>
        <w:autoSpaceDE/>
        <w:autoSpaceDN/>
        <w:spacing w:after="160" w:line="259" w:lineRule="auto"/>
        <w:rPr>
          <w:rFonts w:eastAsia="Calibri"/>
          <w:b/>
          <w:color w:val="2F5496"/>
          <w:lang w:eastAsia="en-US" w:bidi="ar-SA"/>
        </w:rPr>
      </w:pPr>
    </w:p>
    <w:p w14:paraId="0137B905" w14:textId="77777777" w:rsidR="00F21D35" w:rsidRDefault="00F21D35" w:rsidP="005E66FF">
      <w:pPr>
        <w:widowControl/>
        <w:autoSpaceDE/>
        <w:autoSpaceDN/>
        <w:spacing w:after="160" w:line="259" w:lineRule="auto"/>
        <w:rPr>
          <w:rFonts w:eastAsia="Calibri"/>
          <w:b/>
          <w:color w:val="2F5496"/>
          <w:lang w:eastAsia="en-US" w:bidi="ar-SA"/>
        </w:rPr>
      </w:pPr>
    </w:p>
    <w:p w14:paraId="0F0B83C8" w14:textId="77777777" w:rsidR="00F21D35" w:rsidRDefault="00F21D35" w:rsidP="005E66FF">
      <w:pPr>
        <w:widowControl/>
        <w:autoSpaceDE/>
        <w:autoSpaceDN/>
        <w:spacing w:after="160" w:line="259" w:lineRule="auto"/>
        <w:rPr>
          <w:rFonts w:eastAsia="Calibri"/>
          <w:b/>
          <w:color w:val="2F5496"/>
          <w:lang w:eastAsia="en-US" w:bidi="ar-SA"/>
        </w:rPr>
      </w:pPr>
    </w:p>
    <w:p w14:paraId="6952492E" w14:textId="51C1B361" w:rsidR="005E66FF" w:rsidRPr="00E853BB" w:rsidRDefault="005E66FF" w:rsidP="005E66FF">
      <w:pPr>
        <w:widowControl/>
        <w:autoSpaceDE/>
        <w:autoSpaceDN/>
        <w:spacing w:after="160" w:line="259" w:lineRule="auto"/>
        <w:rPr>
          <w:rFonts w:eastAsia="Calibri"/>
          <w:b/>
          <w:color w:val="2F5496"/>
          <w:lang w:eastAsia="en-US" w:bidi="ar-SA"/>
        </w:rPr>
      </w:pPr>
      <w:r w:rsidRPr="00E853BB">
        <w:rPr>
          <w:rFonts w:eastAsia="Calibri"/>
          <w:b/>
          <w:color w:val="2F5496"/>
          <w:lang w:eastAsia="en-US" w:bidi="ar-SA"/>
        </w:rPr>
        <w:t xml:space="preserve">Background: why are we proposing to </w:t>
      </w:r>
      <w:r w:rsidR="00E853BB" w:rsidRPr="00E853BB">
        <w:rPr>
          <w:rFonts w:eastAsia="Calibri"/>
          <w:b/>
          <w:color w:val="2F5496"/>
          <w:lang w:eastAsia="en-US" w:bidi="ar-SA"/>
        </w:rPr>
        <w:t>amend</w:t>
      </w:r>
      <w:r w:rsidRPr="00E853BB">
        <w:rPr>
          <w:rFonts w:eastAsia="Calibri"/>
          <w:b/>
          <w:color w:val="2F5496"/>
          <w:lang w:eastAsia="en-US" w:bidi="ar-SA"/>
        </w:rPr>
        <w:t xml:space="preserve"> these rules? </w:t>
      </w:r>
    </w:p>
    <w:p w14:paraId="630E4C2C" w14:textId="59743A32" w:rsidR="00EA3E94" w:rsidRPr="00921AAF" w:rsidRDefault="003A3316" w:rsidP="00BF3CD3">
      <w:pPr>
        <w:pStyle w:val="ListParagraph"/>
        <w:widowControl/>
        <w:numPr>
          <w:ilvl w:val="0"/>
          <w:numId w:val="1"/>
        </w:numPr>
        <w:autoSpaceDE/>
        <w:autoSpaceDN/>
        <w:spacing w:after="160" w:line="259" w:lineRule="auto"/>
        <w:contextualSpacing/>
      </w:pPr>
      <w:r w:rsidRPr="00E853BB">
        <w:rPr>
          <w:rFonts w:eastAsia="Calibri"/>
          <w:lang w:eastAsia="en-US" w:bidi="ar-SA"/>
        </w:rPr>
        <w:t xml:space="preserve">The </w:t>
      </w:r>
      <w:r w:rsidR="00C149C8">
        <w:rPr>
          <w:rFonts w:eastAsia="Calibri"/>
          <w:lang w:eastAsia="en-US" w:bidi="ar-SA"/>
        </w:rPr>
        <w:t xml:space="preserve">CILEX Compensation Arrangements </w:t>
      </w:r>
      <w:r w:rsidR="00F70F62">
        <w:rPr>
          <w:rFonts w:eastAsia="Calibri"/>
          <w:lang w:eastAsia="en-US" w:bidi="ar-SA"/>
        </w:rPr>
        <w:t xml:space="preserve">Rules </w:t>
      </w:r>
      <w:r w:rsidR="00C149C8">
        <w:rPr>
          <w:rFonts w:eastAsia="Calibri"/>
          <w:lang w:eastAsia="en-US" w:bidi="ar-SA"/>
        </w:rPr>
        <w:t xml:space="preserve">have been in force since 2017 and offer </w:t>
      </w:r>
      <w:r w:rsidR="00A561CA">
        <w:rPr>
          <w:rFonts w:eastAsia="Calibri"/>
          <w:lang w:eastAsia="en-US" w:bidi="ar-SA"/>
        </w:rPr>
        <w:t xml:space="preserve">discretionary </w:t>
      </w:r>
      <w:r w:rsidR="00C149C8">
        <w:rPr>
          <w:rFonts w:eastAsia="Calibri"/>
          <w:lang w:eastAsia="en-US" w:bidi="ar-SA"/>
        </w:rPr>
        <w:t xml:space="preserve">consumer protection of last resort in situations where </w:t>
      </w:r>
      <w:r w:rsidR="009A230E">
        <w:rPr>
          <w:rFonts w:eastAsia="Calibri"/>
          <w:lang w:eastAsia="en-US" w:bidi="ar-SA"/>
        </w:rPr>
        <w:t xml:space="preserve">there has been dishonest misappropriation or dishonest failure to account of client funds </w:t>
      </w:r>
      <w:r w:rsidR="007A4881">
        <w:rPr>
          <w:rFonts w:eastAsia="Calibri"/>
          <w:lang w:eastAsia="en-US" w:bidi="ar-SA"/>
        </w:rPr>
        <w:t xml:space="preserve">by a CILEx Regulation regulated firm </w:t>
      </w:r>
      <w:r w:rsidR="009A230E">
        <w:rPr>
          <w:rFonts w:eastAsia="Calibri"/>
          <w:lang w:eastAsia="en-US" w:bidi="ar-SA"/>
        </w:rPr>
        <w:t xml:space="preserve">or where there is civil liability beyond negligence </w:t>
      </w:r>
      <w:r w:rsidR="009A230E" w:rsidRPr="00921AAF">
        <w:rPr>
          <w:rFonts w:eastAsia="Calibri"/>
          <w:lang w:eastAsia="en-US" w:bidi="ar-SA"/>
        </w:rPr>
        <w:t>which is not covered by a firm’s professional indemnity insurance (PII)</w:t>
      </w:r>
      <w:r w:rsidRPr="00921AAF">
        <w:t>.</w:t>
      </w:r>
      <w:r w:rsidR="0044581B" w:rsidRPr="00921AAF">
        <w:t xml:space="preserve"> </w:t>
      </w:r>
      <w:r w:rsidR="007060C5" w:rsidRPr="00921AAF">
        <w:t>Full details of the cover can be found at rule</w:t>
      </w:r>
      <w:r w:rsidR="00921AAF" w:rsidRPr="00921AAF">
        <w:t>s 6 and 9</w:t>
      </w:r>
      <w:r w:rsidR="007060C5" w:rsidRPr="00921AAF">
        <w:t>.</w:t>
      </w:r>
    </w:p>
    <w:p w14:paraId="5F3DC7F5" w14:textId="77777777" w:rsidR="00EA3E94" w:rsidRDefault="00EA3E94" w:rsidP="00EA3E94">
      <w:pPr>
        <w:pStyle w:val="ListParagraph"/>
        <w:widowControl/>
        <w:autoSpaceDE/>
        <w:autoSpaceDN/>
        <w:spacing w:after="160" w:line="259" w:lineRule="auto"/>
        <w:ind w:left="720"/>
        <w:contextualSpacing/>
      </w:pPr>
    </w:p>
    <w:p w14:paraId="01479321" w14:textId="368D2128" w:rsidR="0044581B" w:rsidRDefault="0044581B" w:rsidP="00BF3CD3">
      <w:pPr>
        <w:pStyle w:val="ListParagraph"/>
        <w:widowControl/>
        <w:numPr>
          <w:ilvl w:val="0"/>
          <w:numId w:val="1"/>
        </w:numPr>
        <w:autoSpaceDE/>
        <w:autoSpaceDN/>
        <w:spacing w:after="160" w:line="259" w:lineRule="auto"/>
        <w:contextualSpacing/>
      </w:pPr>
      <w:r>
        <w:t>The scheme is fully insurance-backed and currently provides the following cover:</w:t>
      </w:r>
    </w:p>
    <w:p w14:paraId="16DB6A98" w14:textId="77777777" w:rsidR="0044581B" w:rsidRDefault="0044581B" w:rsidP="0044581B">
      <w:pPr>
        <w:pStyle w:val="ListParagraph"/>
        <w:widowControl/>
        <w:autoSpaceDE/>
        <w:autoSpaceDN/>
        <w:spacing w:after="160" w:line="259" w:lineRule="auto"/>
        <w:ind w:left="720"/>
        <w:contextualSpacing/>
        <w:rPr>
          <w:rFonts w:eastAsia="Calibri"/>
          <w:lang w:eastAsia="en-US" w:bidi="ar-SA"/>
        </w:rPr>
      </w:pPr>
    </w:p>
    <w:p w14:paraId="60CD312E" w14:textId="71DFAFD4" w:rsidR="003A3316" w:rsidRDefault="00080618" w:rsidP="00080618">
      <w:pPr>
        <w:pStyle w:val="ListParagraph"/>
        <w:widowControl/>
        <w:numPr>
          <w:ilvl w:val="0"/>
          <w:numId w:val="10"/>
        </w:numPr>
        <w:autoSpaceDE/>
        <w:autoSpaceDN/>
        <w:spacing w:after="160" w:line="259" w:lineRule="auto"/>
        <w:contextualSpacing/>
      </w:pPr>
      <w:r>
        <w:rPr>
          <w:rFonts w:eastAsia="Calibri"/>
          <w:lang w:eastAsia="en-US" w:bidi="ar-SA"/>
        </w:rPr>
        <w:t xml:space="preserve">Up to </w:t>
      </w:r>
      <w:r w:rsidR="0044581B">
        <w:rPr>
          <w:rFonts w:eastAsia="Calibri"/>
          <w:lang w:eastAsia="en-US" w:bidi="ar-SA"/>
        </w:rPr>
        <w:t>£500,000 per individu</w:t>
      </w:r>
      <w:r>
        <w:rPr>
          <w:rFonts w:eastAsia="Calibri"/>
          <w:lang w:eastAsia="en-US" w:bidi="ar-SA"/>
        </w:rPr>
        <w:t>al, and</w:t>
      </w:r>
    </w:p>
    <w:p w14:paraId="2E43AFD9" w14:textId="5A6B2648" w:rsidR="00B14B38" w:rsidRPr="00E853BB" w:rsidRDefault="00080618" w:rsidP="00B14B38">
      <w:pPr>
        <w:pStyle w:val="ListParagraph"/>
        <w:widowControl/>
        <w:numPr>
          <w:ilvl w:val="0"/>
          <w:numId w:val="10"/>
        </w:numPr>
        <w:autoSpaceDE/>
        <w:autoSpaceDN/>
        <w:spacing w:after="160" w:line="259" w:lineRule="auto"/>
        <w:contextualSpacing/>
      </w:pPr>
      <w:r>
        <w:t>Up to £2m per firm</w:t>
      </w:r>
    </w:p>
    <w:p w14:paraId="08BF349A" w14:textId="77777777" w:rsidR="00E853BB" w:rsidRPr="00E853BB" w:rsidRDefault="00E853BB" w:rsidP="00E853BB">
      <w:pPr>
        <w:pStyle w:val="ListParagraph"/>
        <w:widowControl/>
        <w:autoSpaceDE/>
        <w:autoSpaceDN/>
        <w:spacing w:after="160" w:line="259" w:lineRule="auto"/>
        <w:ind w:left="720"/>
        <w:contextualSpacing/>
      </w:pPr>
    </w:p>
    <w:p w14:paraId="6A12BF52" w14:textId="66E042BC" w:rsidR="00B14B38" w:rsidRDefault="00B14B38" w:rsidP="00E853BB">
      <w:pPr>
        <w:pStyle w:val="ListParagraph"/>
        <w:numPr>
          <w:ilvl w:val="0"/>
          <w:numId w:val="1"/>
        </w:numPr>
      </w:pPr>
      <w:r>
        <w:t xml:space="preserve">The insurance policy provided </w:t>
      </w:r>
      <w:r w:rsidR="00240D4D">
        <w:t>a total aggregate cover of £6m per year</w:t>
      </w:r>
      <w:r>
        <w:t>.</w:t>
      </w:r>
    </w:p>
    <w:p w14:paraId="446D1065" w14:textId="77777777" w:rsidR="00240D4D" w:rsidRDefault="00240D4D" w:rsidP="00240D4D">
      <w:pPr>
        <w:pStyle w:val="ListParagraph"/>
        <w:ind w:left="720"/>
      </w:pPr>
    </w:p>
    <w:p w14:paraId="284BF29C" w14:textId="4CDA6817" w:rsidR="00E853BB" w:rsidRPr="00E853BB" w:rsidRDefault="00EA3E94" w:rsidP="00E853BB">
      <w:pPr>
        <w:pStyle w:val="ListParagraph"/>
        <w:numPr>
          <w:ilvl w:val="0"/>
          <w:numId w:val="1"/>
        </w:numPr>
      </w:pPr>
      <w:r>
        <w:t xml:space="preserve">On 28 May 2021, CILEx Regulation was informed that the insurer for the compensation arrangements was </w:t>
      </w:r>
      <w:r w:rsidR="006639A3">
        <w:t>ending cover with effect from the policy renewal (4 July 2021)</w:t>
      </w:r>
      <w:r w:rsidR="00E853BB" w:rsidRPr="00E853BB">
        <w:t>.</w:t>
      </w:r>
      <w:r w:rsidR="006639A3">
        <w:t xml:space="preserve"> The insurers have subsequently agreed to extend the cover </w:t>
      </w:r>
      <w:r w:rsidR="00384418">
        <w:t xml:space="preserve">by 60 days </w:t>
      </w:r>
      <w:r w:rsidR="006639A3">
        <w:t>to 2 September 2021.</w:t>
      </w:r>
    </w:p>
    <w:p w14:paraId="21A8EA26" w14:textId="77777777" w:rsidR="00E853BB" w:rsidRPr="00E853BB" w:rsidRDefault="00E853BB" w:rsidP="00E853BB">
      <w:pPr>
        <w:pStyle w:val="ListParagraph"/>
      </w:pPr>
    </w:p>
    <w:p w14:paraId="0C18933E" w14:textId="68CFEF7A" w:rsidR="00035BE6" w:rsidRDefault="007A27C5" w:rsidP="00E853BB">
      <w:pPr>
        <w:pStyle w:val="ListParagraph"/>
        <w:numPr>
          <w:ilvl w:val="0"/>
          <w:numId w:val="1"/>
        </w:numPr>
      </w:pPr>
      <w:r>
        <w:t>Despite having sought alternative cover on the same or similar terms, CILEx Regulation has been unable to source an alternative insurance policy</w:t>
      </w:r>
      <w:r w:rsidR="00E853BB" w:rsidRPr="00E853BB">
        <w:t>.</w:t>
      </w:r>
      <w:r>
        <w:t xml:space="preserve"> As a result, CILEx Regulation has had to consider alternative forms of consumer protection.</w:t>
      </w:r>
      <w:r w:rsidR="0062217A">
        <w:t xml:space="preserve"> We have looked at the action we can take in the short- and longer-term</w:t>
      </w:r>
      <w:r w:rsidR="00F12CAB">
        <w:t>.</w:t>
      </w:r>
      <w:r>
        <w:t xml:space="preserve"> </w:t>
      </w:r>
    </w:p>
    <w:p w14:paraId="25D5781C" w14:textId="77777777" w:rsidR="00035BE6" w:rsidRDefault="00035BE6" w:rsidP="00035BE6">
      <w:pPr>
        <w:pStyle w:val="ListParagraph"/>
      </w:pPr>
    </w:p>
    <w:p w14:paraId="03170A5C" w14:textId="5D4DDF16" w:rsidR="00004DFC" w:rsidRDefault="00F12CAB" w:rsidP="00E853BB">
      <w:pPr>
        <w:pStyle w:val="ListParagraph"/>
        <w:numPr>
          <w:ilvl w:val="0"/>
          <w:numId w:val="1"/>
        </w:numPr>
      </w:pPr>
      <w:r>
        <w:t>To review the short-term position, w</w:t>
      </w:r>
      <w:r w:rsidR="00035BE6">
        <w:t xml:space="preserve">e have </w:t>
      </w:r>
      <w:r w:rsidR="004C2555">
        <w:t>engag</w:t>
      </w:r>
      <w:r w:rsidR="00035BE6">
        <w:t xml:space="preserve">ed an actuary to calculate </w:t>
      </w:r>
      <w:r w:rsidR="006E6B50">
        <w:t xml:space="preserve">revised levels of cover </w:t>
      </w:r>
      <w:r w:rsidR="00004DFC">
        <w:t>that</w:t>
      </w:r>
      <w:r w:rsidR="006E6B50">
        <w:t xml:space="preserve"> would be the most appropriate </w:t>
      </w:r>
      <w:r w:rsidR="00B21983">
        <w:t xml:space="preserve">to continue to provide </w:t>
      </w:r>
      <w:r w:rsidR="00D62C3F">
        <w:t>protection to the consumer based on the profile of</w:t>
      </w:r>
      <w:r w:rsidR="006E6B50">
        <w:t xml:space="preserve"> our firms</w:t>
      </w:r>
      <w:r w:rsidR="00004DFC">
        <w:t>.</w:t>
      </w:r>
      <w:r w:rsidR="006E6B50">
        <w:t xml:space="preserve"> </w:t>
      </w:r>
    </w:p>
    <w:p w14:paraId="25F524E5" w14:textId="77777777" w:rsidR="00004DFC" w:rsidRDefault="00004DFC" w:rsidP="00004DFC">
      <w:pPr>
        <w:pStyle w:val="ListParagraph"/>
      </w:pPr>
    </w:p>
    <w:p w14:paraId="28DAC231" w14:textId="3C245E93" w:rsidR="00F07599" w:rsidRDefault="00C70F9F" w:rsidP="00E853BB">
      <w:pPr>
        <w:pStyle w:val="ListParagraph"/>
        <w:numPr>
          <w:ilvl w:val="0"/>
          <w:numId w:val="1"/>
        </w:numPr>
      </w:pPr>
      <w:r>
        <w:t xml:space="preserve">The actuary concluded that the minimum requirements for </w:t>
      </w:r>
      <w:r w:rsidR="006E6B50">
        <w:t xml:space="preserve">the </w:t>
      </w:r>
      <w:r w:rsidR="00F07599">
        <w:t>CILEX compensation arrangements</w:t>
      </w:r>
      <w:r>
        <w:t xml:space="preserve"> to be viable were</w:t>
      </w:r>
      <w:r w:rsidR="00F07599">
        <w:t>:</w:t>
      </w:r>
    </w:p>
    <w:p w14:paraId="16552743" w14:textId="77777777" w:rsidR="00C76968" w:rsidRDefault="00C76968" w:rsidP="00C76968">
      <w:pPr>
        <w:pStyle w:val="ListParagraph"/>
      </w:pPr>
    </w:p>
    <w:p w14:paraId="5AC33E89" w14:textId="2331A1C6" w:rsidR="00B550C2" w:rsidRDefault="00B550C2" w:rsidP="00F21D35">
      <w:pPr>
        <w:pStyle w:val="ListParagraph"/>
        <w:numPr>
          <w:ilvl w:val="0"/>
          <w:numId w:val="14"/>
        </w:numPr>
      </w:pPr>
      <w:r>
        <w:t>Up to £250,000 per individual for probate and conveyancing claims</w:t>
      </w:r>
      <w:r w:rsidR="004D3140">
        <w:t xml:space="preserve">, £10,000 per individual for </w:t>
      </w:r>
      <w:r w:rsidR="009F53AD">
        <w:t xml:space="preserve">claims in </w:t>
      </w:r>
      <w:r w:rsidR="004D3140">
        <w:t>all other areas of practice</w:t>
      </w:r>
    </w:p>
    <w:p w14:paraId="0ACA99FA" w14:textId="12C3C629" w:rsidR="00C76968" w:rsidRDefault="004D3140" w:rsidP="00F21D35">
      <w:pPr>
        <w:pStyle w:val="ListParagraph"/>
        <w:numPr>
          <w:ilvl w:val="0"/>
          <w:numId w:val="14"/>
        </w:numPr>
      </w:pPr>
      <w:r>
        <w:t>£250,000 per firm</w:t>
      </w:r>
    </w:p>
    <w:p w14:paraId="4E61051B" w14:textId="4FA5F0A4" w:rsidR="00C76968" w:rsidRDefault="00C76968" w:rsidP="00C76968">
      <w:pPr>
        <w:ind w:left="360"/>
      </w:pPr>
    </w:p>
    <w:p w14:paraId="723D8CC9" w14:textId="10A424DF" w:rsidR="00C76968" w:rsidRDefault="00007841" w:rsidP="00C76968">
      <w:pPr>
        <w:pStyle w:val="ListParagraph"/>
        <w:numPr>
          <w:ilvl w:val="0"/>
          <w:numId w:val="1"/>
        </w:numPr>
      </w:pPr>
      <w:r>
        <w:t xml:space="preserve">Our insurance policy covered a total of £6m claims in one year. </w:t>
      </w:r>
      <w:r w:rsidR="002B3208">
        <w:t>The actuary has calculated that based on CILEx Regulation’s claims history and the</w:t>
      </w:r>
      <w:r w:rsidR="00841D8D">
        <w:t xml:space="preserve"> profile of our firms that the total fund size for the next 12 months should be £250,000.</w:t>
      </w:r>
    </w:p>
    <w:p w14:paraId="04274346" w14:textId="7A483F14" w:rsidR="00EC50E5" w:rsidRDefault="00EC50E5" w:rsidP="00EC50E5">
      <w:pPr>
        <w:pStyle w:val="ListParagraph"/>
        <w:ind w:left="720"/>
      </w:pPr>
    </w:p>
    <w:p w14:paraId="211F9F4C" w14:textId="6FFCFE32" w:rsidR="00EC50E5" w:rsidRDefault="00C70F9F" w:rsidP="00C76968">
      <w:pPr>
        <w:pStyle w:val="ListParagraph"/>
        <w:numPr>
          <w:ilvl w:val="0"/>
          <w:numId w:val="1"/>
        </w:numPr>
      </w:pPr>
      <w:r>
        <w:t>Whilst the actuary provided minimum levels at £250,000, t</w:t>
      </w:r>
      <w:r w:rsidR="00EC50E5">
        <w:t xml:space="preserve">o ensure that </w:t>
      </w:r>
      <w:r w:rsidR="00550DBB">
        <w:t xml:space="preserve">there is </w:t>
      </w:r>
      <w:r w:rsidR="00DE2745">
        <w:t>minimal disruption to consumer protection</w:t>
      </w:r>
      <w:r w:rsidR="00550DBB">
        <w:t xml:space="preserve"> for individuals using CILEx Regulation regulated firms</w:t>
      </w:r>
      <w:r w:rsidR="00DE2745">
        <w:t>, we are proposing to amend our rules to the following:</w:t>
      </w:r>
    </w:p>
    <w:p w14:paraId="25F1E526" w14:textId="77777777" w:rsidR="00DE2745" w:rsidRDefault="00DE2745" w:rsidP="00DE2745">
      <w:pPr>
        <w:pStyle w:val="ListParagraph"/>
      </w:pPr>
    </w:p>
    <w:p w14:paraId="77501A88" w14:textId="6B57AB88" w:rsidR="00DE2745" w:rsidRDefault="00DE2745" w:rsidP="00F21D35">
      <w:pPr>
        <w:pStyle w:val="ListParagraph"/>
        <w:numPr>
          <w:ilvl w:val="0"/>
          <w:numId w:val="15"/>
        </w:numPr>
      </w:pPr>
      <w:r>
        <w:t xml:space="preserve">Up to £500,000 per individual </w:t>
      </w:r>
    </w:p>
    <w:p w14:paraId="5716D076" w14:textId="39EE2326" w:rsidR="00DE2745" w:rsidRDefault="00DE2745" w:rsidP="00F21D35">
      <w:pPr>
        <w:pStyle w:val="ListParagraph"/>
        <w:numPr>
          <w:ilvl w:val="0"/>
          <w:numId w:val="15"/>
        </w:numPr>
      </w:pPr>
      <w:r>
        <w:t>£500,000 per firm</w:t>
      </w:r>
    </w:p>
    <w:p w14:paraId="7FC74377" w14:textId="4A138968" w:rsidR="00661168" w:rsidRDefault="00661168" w:rsidP="00F21D35">
      <w:pPr>
        <w:pStyle w:val="ListParagraph"/>
        <w:numPr>
          <w:ilvl w:val="0"/>
          <w:numId w:val="15"/>
        </w:numPr>
      </w:pPr>
      <w:r>
        <w:t xml:space="preserve">A £500,000 </w:t>
      </w:r>
      <w:r w:rsidR="00BF030E">
        <w:t>F</w:t>
      </w:r>
      <w:r w:rsidR="006A5A79">
        <w:t>und</w:t>
      </w:r>
    </w:p>
    <w:p w14:paraId="63E8B173" w14:textId="49CFFCA9" w:rsidR="007B3953" w:rsidRDefault="007B3953" w:rsidP="007B3953">
      <w:pPr>
        <w:pStyle w:val="ListParagraph"/>
        <w:ind w:left="720"/>
      </w:pPr>
    </w:p>
    <w:p w14:paraId="0FE3AC7A" w14:textId="5A49FB18" w:rsidR="007B3953" w:rsidRDefault="007B3953" w:rsidP="00C76968">
      <w:pPr>
        <w:pStyle w:val="ListParagraph"/>
        <w:numPr>
          <w:ilvl w:val="0"/>
          <w:numId w:val="1"/>
        </w:numPr>
      </w:pPr>
      <w:r>
        <w:t xml:space="preserve">Once our interim arrangements have been agreed, we will then look to make longer-term changes </w:t>
      </w:r>
      <w:r>
        <w:lastRenderedPageBreak/>
        <w:t>to the compensation arrangements.</w:t>
      </w:r>
      <w:r w:rsidR="00271729">
        <w:t xml:space="preserve"> We will consult on these changes in the coming months.</w:t>
      </w:r>
    </w:p>
    <w:p w14:paraId="6332A05B" w14:textId="310ADCB0" w:rsidR="00D95E92" w:rsidRDefault="00D95E92" w:rsidP="00D95E92"/>
    <w:p w14:paraId="6C680CF2" w14:textId="3320182A" w:rsidR="00B34920" w:rsidRPr="00B34920" w:rsidRDefault="00B34920" w:rsidP="00B34920">
      <w:pPr>
        <w:widowControl/>
        <w:autoSpaceDE/>
        <w:autoSpaceDN/>
        <w:spacing w:after="160" w:line="259" w:lineRule="auto"/>
        <w:rPr>
          <w:rFonts w:eastAsia="Calibri"/>
          <w:b/>
          <w:color w:val="2F5496"/>
          <w:lang w:eastAsia="en-US" w:bidi="ar-SA"/>
        </w:rPr>
      </w:pPr>
      <w:r w:rsidRPr="00B34920">
        <w:rPr>
          <w:rFonts w:eastAsia="Calibri"/>
          <w:b/>
          <w:color w:val="2F5496"/>
          <w:lang w:eastAsia="en-US" w:bidi="ar-SA"/>
        </w:rPr>
        <w:t xml:space="preserve">Our proposals  </w:t>
      </w:r>
    </w:p>
    <w:p w14:paraId="1CEB3C99" w14:textId="40BEB2A3" w:rsidR="00D177BF" w:rsidRPr="00A8756D" w:rsidRDefault="00E853BB" w:rsidP="00E853BB">
      <w:pPr>
        <w:widowControl/>
        <w:numPr>
          <w:ilvl w:val="0"/>
          <w:numId w:val="1"/>
        </w:numPr>
        <w:autoSpaceDE/>
        <w:autoSpaceDN/>
        <w:spacing w:after="160" w:line="259" w:lineRule="auto"/>
        <w:contextualSpacing/>
        <w:rPr>
          <w:sz w:val="20"/>
        </w:rPr>
      </w:pPr>
      <w:r>
        <w:rPr>
          <w:rFonts w:eastAsia="Calibri"/>
          <w:lang w:eastAsia="en-US" w:bidi="ar-SA"/>
        </w:rPr>
        <w:t xml:space="preserve">We are proposing to amend the </w:t>
      </w:r>
      <w:r w:rsidR="00324230">
        <w:rPr>
          <w:rFonts w:eastAsia="Calibri"/>
          <w:lang w:eastAsia="en-US" w:bidi="ar-SA"/>
        </w:rPr>
        <w:t>CILEX Compensation Arrangement</w:t>
      </w:r>
      <w:r w:rsidR="001C5DF2">
        <w:rPr>
          <w:rFonts w:eastAsia="Calibri"/>
          <w:lang w:eastAsia="en-US" w:bidi="ar-SA"/>
        </w:rPr>
        <w:t xml:space="preserve"> Rules as follows</w:t>
      </w:r>
      <w:r w:rsidR="00A8756D">
        <w:rPr>
          <w:rFonts w:eastAsia="Calibri"/>
          <w:lang w:eastAsia="en-US" w:bidi="ar-SA"/>
        </w:rPr>
        <w:t xml:space="preserve">: </w:t>
      </w:r>
    </w:p>
    <w:p w14:paraId="3175EED3" w14:textId="3D2C7F2C" w:rsidR="00336053" w:rsidRDefault="00574076"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 xml:space="preserve">At rule 3(2), we have </w:t>
      </w:r>
      <w:r w:rsidR="008D3779">
        <w:rPr>
          <w:rFonts w:eastAsia="Calibri"/>
          <w:lang w:eastAsia="en-US" w:bidi="ar-SA"/>
        </w:rPr>
        <w:t>reversed the order from which discretionary grants will be paid to reflect that in the short-term no insurance contract will be in plac</w:t>
      </w:r>
      <w:r w:rsidR="00FF4F7E">
        <w:rPr>
          <w:rFonts w:eastAsia="Calibri"/>
          <w:lang w:eastAsia="en-US" w:bidi="ar-SA"/>
        </w:rPr>
        <w:t>e.</w:t>
      </w:r>
    </w:p>
    <w:p w14:paraId="6F1797F8" w14:textId="075D9F99" w:rsidR="00FF4F7E" w:rsidRDefault="00A123D5"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Clarification throughout</w:t>
      </w:r>
      <w:r w:rsidR="00CF1849">
        <w:rPr>
          <w:rFonts w:eastAsia="Calibri"/>
          <w:lang w:eastAsia="en-US" w:bidi="ar-SA"/>
        </w:rPr>
        <w:t xml:space="preserve"> the rules</w:t>
      </w:r>
      <w:r>
        <w:rPr>
          <w:rFonts w:eastAsia="Calibri"/>
          <w:lang w:eastAsia="en-US" w:bidi="ar-SA"/>
        </w:rPr>
        <w:t xml:space="preserve"> that grants are discretionary.</w:t>
      </w:r>
    </w:p>
    <w:p w14:paraId="1F6BE0F8" w14:textId="5306A918" w:rsidR="00A123D5" w:rsidRDefault="00491F97"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 xml:space="preserve">At rule 6(1) to confirm that </w:t>
      </w:r>
      <w:r w:rsidR="004569FA">
        <w:rPr>
          <w:rFonts w:eastAsia="Calibri"/>
          <w:lang w:eastAsia="en-US" w:bidi="ar-SA"/>
        </w:rPr>
        <w:t>discretionary grants will be made from the Fund.</w:t>
      </w:r>
    </w:p>
    <w:p w14:paraId="4191E771" w14:textId="458079AA" w:rsidR="004569FA" w:rsidRDefault="00312EE5"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 xml:space="preserve">At rule 6(1)(a) to confirm that </w:t>
      </w:r>
      <w:r w:rsidR="00530ED0">
        <w:rPr>
          <w:rFonts w:eastAsia="Calibri"/>
          <w:lang w:eastAsia="en-US" w:bidi="ar-SA"/>
        </w:rPr>
        <w:t>claims can only be made by</w:t>
      </w:r>
      <w:r>
        <w:rPr>
          <w:rFonts w:eastAsia="Calibri"/>
          <w:lang w:eastAsia="en-US" w:bidi="ar-SA"/>
        </w:rPr>
        <w:t xml:space="preserve"> </w:t>
      </w:r>
      <w:r w:rsidR="00CF1849">
        <w:rPr>
          <w:rFonts w:eastAsia="Calibri"/>
          <w:lang w:eastAsia="en-US" w:bidi="ar-SA"/>
        </w:rPr>
        <w:t>E</w:t>
      </w:r>
      <w:r>
        <w:rPr>
          <w:rFonts w:eastAsia="Calibri"/>
          <w:lang w:eastAsia="en-US" w:bidi="ar-SA"/>
        </w:rPr>
        <w:t xml:space="preserve">ligible </w:t>
      </w:r>
      <w:r w:rsidR="00CF1849">
        <w:rPr>
          <w:rFonts w:eastAsia="Calibri"/>
          <w:lang w:eastAsia="en-US" w:bidi="ar-SA"/>
        </w:rPr>
        <w:t>P</w:t>
      </w:r>
      <w:r>
        <w:rPr>
          <w:rFonts w:eastAsia="Calibri"/>
          <w:lang w:eastAsia="en-US" w:bidi="ar-SA"/>
        </w:rPr>
        <w:t>ersons</w:t>
      </w:r>
    </w:p>
    <w:p w14:paraId="00DEFA2F" w14:textId="0EA15DBA" w:rsidR="00F70EF1" w:rsidRDefault="00F70EF1"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 xml:space="preserve">At 6(3)(a) to remove the possibility of </w:t>
      </w:r>
      <w:r w:rsidR="00D4030B">
        <w:rPr>
          <w:rFonts w:eastAsia="Calibri"/>
          <w:lang w:eastAsia="en-US" w:bidi="ar-SA"/>
        </w:rPr>
        <w:t xml:space="preserve">an </w:t>
      </w:r>
      <w:r>
        <w:rPr>
          <w:rFonts w:eastAsia="Calibri"/>
          <w:lang w:eastAsia="en-US" w:bidi="ar-SA"/>
        </w:rPr>
        <w:t xml:space="preserve">insurance </w:t>
      </w:r>
      <w:r w:rsidR="00D4030B">
        <w:rPr>
          <w:rFonts w:eastAsia="Calibri"/>
          <w:lang w:eastAsia="en-US" w:bidi="ar-SA"/>
        </w:rPr>
        <w:t>policy covering</w:t>
      </w:r>
      <w:r>
        <w:rPr>
          <w:rFonts w:eastAsia="Calibri"/>
          <w:lang w:eastAsia="en-US" w:bidi="ar-SA"/>
        </w:rPr>
        <w:t xml:space="preserve"> interim payments, which </w:t>
      </w:r>
      <w:r w:rsidR="00567AB8">
        <w:rPr>
          <w:rFonts w:eastAsia="Calibri"/>
          <w:lang w:eastAsia="en-US" w:bidi="ar-SA"/>
        </w:rPr>
        <w:t xml:space="preserve">may </w:t>
      </w:r>
      <w:r w:rsidR="00D4030B">
        <w:rPr>
          <w:rFonts w:eastAsia="Calibri"/>
          <w:lang w:eastAsia="en-US" w:bidi="ar-SA"/>
        </w:rPr>
        <w:t xml:space="preserve">instead </w:t>
      </w:r>
      <w:r w:rsidR="00567AB8">
        <w:rPr>
          <w:rFonts w:eastAsia="Calibri"/>
          <w:lang w:eastAsia="en-US" w:bidi="ar-SA"/>
        </w:rPr>
        <w:t>b</w:t>
      </w:r>
      <w:r>
        <w:rPr>
          <w:rFonts w:eastAsia="Calibri"/>
          <w:lang w:eastAsia="en-US" w:bidi="ar-SA"/>
        </w:rPr>
        <w:t xml:space="preserve">e made from the </w:t>
      </w:r>
      <w:r w:rsidR="00EB1593">
        <w:rPr>
          <w:rFonts w:eastAsia="Calibri"/>
          <w:lang w:eastAsia="en-US" w:bidi="ar-SA"/>
        </w:rPr>
        <w:t>F</w:t>
      </w:r>
      <w:r>
        <w:rPr>
          <w:rFonts w:eastAsia="Calibri"/>
          <w:lang w:eastAsia="en-US" w:bidi="ar-SA"/>
        </w:rPr>
        <w:t>und</w:t>
      </w:r>
      <w:r w:rsidR="00EB1593">
        <w:rPr>
          <w:rFonts w:eastAsia="Calibri"/>
          <w:lang w:eastAsia="en-US" w:bidi="ar-SA"/>
        </w:rPr>
        <w:t>.</w:t>
      </w:r>
      <w:r>
        <w:rPr>
          <w:rFonts w:eastAsia="Calibri"/>
          <w:lang w:eastAsia="en-US" w:bidi="ar-SA"/>
        </w:rPr>
        <w:t xml:space="preserve"> </w:t>
      </w:r>
    </w:p>
    <w:p w14:paraId="235C76B9" w14:textId="70D9C4F3" w:rsidR="00EB1593" w:rsidRDefault="002D2A4F"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To remove 6(4)(d) from the rules</w:t>
      </w:r>
    </w:p>
    <w:p w14:paraId="6D65A020" w14:textId="27CD9677" w:rsidR="00060E08" w:rsidRDefault="00060E08" w:rsidP="00B80112">
      <w:pPr>
        <w:widowControl/>
        <w:numPr>
          <w:ilvl w:val="1"/>
          <w:numId w:val="1"/>
        </w:numPr>
        <w:autoSpaceDE/>
        <w:autoSpaceDN/>
        <w:spacing w:after="160" w:line="259" w:lineRule="auto"/>
        <w:contextualSpacing/>
        <w:rPr>
          <w:rFonts w:eastAsia="Calibri"/>
          <w:lang w:eastAsia="en-US" w:bidi="ar-SA"/>
        </w:rPr>
      </w:pPr>
      <w:r>
        <w:rPr>
          <w:rFonts w:eastAsia="Calibri"/>
          <w:lang w:eastAsia="en-US" w:bidi="ar-SA"/>
        </w:rPr>
        <w:t xml:space="preserve">To amend rule 9 in relation to the maximum discretionary grants available from the </w:t>
      </w:r>
      <w:r w:rsidR="00D4030B">
        <w:rPr>
          <w:rFonts w:eastAsia="Calibri"/>
          <w:lang w:eastAsia="en-US" w:bidi="ar-SA"/>
        </w:rPr>
        <w:t>F</w:t>
      </w:r>
      <w:r>
        <w:rPr>
          <w:rFonts w:eastAsia="Calibri"/>
          <w:lang w:eastAsia="en-US" w:bidi="ar-SA"/>
        </w:rPr>
        <w:t xml:space="preserve">und </w:t>
      </w:r>
      <w:r w:rsidR="00C8629F">
        <w:rPr>
          <w:rFonts w:eastAsia="Calibri"/>
          <w:lang w:eastAsia="en-US" w:bidi="ar-SA"/>
        </w:rPr>
        <w:t xml:space="preserve">to reflect the revised arrangements set out </w:t>
      </w:r>
      <w:r w:rsidR="0083397A">
        <w:rPr>
          <w:rFonts w:eastAsia="Calibri"/>
          <w:lang w:eastAsia="en-US" w:bidi="ar-SA"/>
        </w:rPr>
        <w:t>at</w:t>
      </w:r>
      <w:r w:rsidR="00C8629F">
        <w:rPr>
          <w:rFonts w:eastAsia="Calibri"/>
          <w:lang w:eastAsia="en-US" w:bidi="ar-SA"/>
        </w:rPr>
        <w:t xml:space="preserve"> paragraph</w:t>
      </w:r>
      <w:r w:rsidR="0083397A">
        <w:rPr>
          <w:rFonts w:eastAsia="Calibri"/>
          <w:lang w:eastAsia="en-US" w:bidi="ar-SA"/>
        </w:rPr>
        <w:t xml:space="preserve"> 13</w:t>
      </w:r>
      <w:r w:rsidR="00C8629F">
        <w:rPr>
          <w:rFonts w:eastAsia="Calibri"/>
          <w:lang w:eastAsia="en-US" w:bidi="ar-SA"/>
        </w:rPr>
        <w:t xml:space="preserve"> of this consultation document.</w:t>
      </w:r>
    </w:p>
    <w:p w14:paraId="2D8777DF" w14:textId="77777777" w:rsidR="00606A6E" w:rsidRPr="00606A6E" w:rsidRDefault="0006675C" w:rsidP="003D00D0">
      <w:pPr>
        <w:pStyle w:val="ListParagraph"/>
        <w:widowControl/>
        <w:numPr>
          <w:ilvl w:val="0"/>
          <w:numId w:val="1"/>
        </w:numPr>
        <w:autoSpaceDE/>
        <w:autoSpaceDN/>
        <w:spacing w:after="160" w:line="259" w:lineRule="auto"/>
        <w:contextualSpacing/>
        <w:rPr>
          <w:rFonts w:eastAsia="Calibri"/>
          <w:b/>
          <w:color w:val="2F5496"/>
          <w:lang w:eastAsia="en-US" w:bidi="ar-SA"/>
        </w:rPr>
      </w:pPr>
      <w:r>
        <w:t xml:space="preserve">These proposals provide an interim measure to ensure that we </w:t>
      </w:r>
      <w:proofErr w:type="gramStart"/>
      <w:r>
        <w:t>are able to</w:t>
      </w:r>
      <w:proofErr w:type="gramEnd"/>
      <w:r>
        <w:t xml:space="preserve"> provide </w:t>
      </w:r>
      <w:r w:rsidR="00D4030B">
        <w:t xml:space="preserve">continued </w:t>
      </w:r>
      <w:r>
        <w:t>consumer protection which is proportionate for the next 12 months</w:t>
      </w:r>
      <w:r w:rsidR="00D4030B">
        <w:t xml:space="preserve"> once the current insurance policy expires on 2 September 2021</w:t>
      </w:r>
      <w:r>
        <w:t xml:space="preserve">. </w:t>
      </w:r>
    </w:p>
    <w:p w14:paraId="64D87987" w14:textId="77777777" w:rsidR="00606A6E" w:rsidRPr="00606A6E" w:rsidRDefault="00606A6E" w:rsidP="00606A6E">
      <w:pPr>
        <w:pStyle w:val="ListParagraph"/>
        <w:widowControl/>
        <w:autoSpaceDE/>
        <w:autoSpaceDN/>
        <w:spacing w:after="160" w:line="259" w:lineRule="auto"/>
        <w:ind w:left="720"/>
        <w:contextualSpacing/>
        <w:rPr>
          <w:rFonts w:eastAsia="Calibri"/>
          <w:b/>
          <w:color w:val="2F5496"/>
          <w:lang w:eastAsia="en-US" w:bidi="ar-SA"/>
        </w:rPr>
      </w:pPr>
    </w:p>
    <w:p w14:paraId="4BF599AB" w14:textId="410E8386" w:rsidR="001C5DF2" w:rsidRPr="003E5021" w:rsidRDefault="0006675C" w:rsidP="003D00D0">
      <w:pPr>
        <w:pStyle w:val="ListParagraph"/>
        <w:widowControl/>
        <w:numPr>
          <w:ilvl w:val="0"/>
          <w:numId w:val="1"/>
        </w:numPr>
        <w:autoSpaceDE/>
        <w:autoSpaceDN/>
        <w:spacing w:after="160" w:line="259" w:lineRule="auto"/>
        <w:contextualSpacing/>
        <w:rPr>
          <w:rFonts w:eastAsia="Calibri"/>
          <w:b/>
          <w:color w:val="2F5496"/>
          <w:lang w:eastAsia="en-US" w:bidi="ar-SA"/>
        </w:rPr>
      </w:pPr>
      <w:r>
        <w:t xml:space="preserve">CILEX Regulation is intending to undertake a full review of the compensation arrangements in operation over the next 12 months and will consult on longer term changes </w:t>
      </w:r>
      <w:r w:rsidR="003E5021">
        <w:t xml:space="preserve">next year. </w:t>
      </w:r>
    </w:p>
    <w:p w14:paraId="10DA1D63" w14:textId="7E3B4EED" w:rsidR="001A4A92" w:rsidRPr="001A4A92" w:rsidRDefault="001A4A92" w:rsidP="001A4A92">
      <w:pPr>
        <w:widowControl/>
        <w:autoSpaceDE/>
        <w:autoSpaceDN/>
        <w:spacing w:after="160" w:line="259" w:lineRule="auto"/>
        <w:rPr>
          <w:rFonts w:eastAsia="Calibri"/>
          <w:b/>
          <w:color w:val="2F5496"/>
          <w:lang w:eastAsia="en-US" w:bidi="ar-SA"/>
        </w:rPr>
      </w:pPr>
      <w:r w:rsidRPr="001A4A92">
        <w:rPr>
          <w:rFonts w:eastAsia="Calibri"/>
          <w:b/>
          <w:color w:val="2F5496"/>
          <w:lang w:eastAsia="en-US" w:bidi="ar-SA"/>
        </w:rPr>
        <w:t xml:space="preserve">The </w:t>
      </w:r>
      <w:r w:rsidR="004F7D91">
        <w:rPr>
          <w:rFonts w:eastAsia="Calibri"/>
          <w:b/>
          <w:color w:val="2F5496"/>
          <w:lang w:eastAsia="en-US" w:bidi="ar-SA"/>
        </w:rPr>
        <w:t>CILEX Compensation Arrangements</w:t>
      </w:r>
      <w:r w:rsidRPr="001A4A92">
        <w:rPr>
          <w:rFonts w:eastAsia="Calibri"/>
          <w:b/>
          <w:color w:val="2F5496"/>
          <w:lang w:eastAsia="en-US" w:bidi="ar-SA"/>
        </w:rPr>
        <w:t xml:space="preserve"> Rules</w:t>
      </w:r>
    </w:p>
    <w:p w14:paraId="1AA60D7F" w14:textId="31CD67CE" w:rsidR="001A4A92" w:rsidRDefault="001A4A92" w:rsidP="00C93169">
      <w:pPr>
        <w:widowControl/>
        <w:numPr>
          <w:ilvl w:val="0"/>
          <w:numId w:val="1"/>
        </w:numPr>
        <w:autoSpaceDE/>
        <w:autoSpaceDN/>
        <w:spacing w:after="160" w:line="259" w:lineRule="auto"/>
        <w:contextualSpacing/>
        <w:rPr>
          <w:rFonts w:eastAsia="Calibri"/>
          <w:lang w:eastAsia="en-US" w:bidi="ar-SA"/>
        </w:rPr>
      </w:pPr>
      <w:r w:rsidRPr="001A4A92">
        <w:rPr>
          <w:rFonts w:eastAsia="Calibri"/>
          <w:lang w:eastAsia="en-US" w:bidi="ar-SA"/>
        </w:rPr>
        <w:t xml:space="preserve">The proposed </w:t>
      </w:r>
      <w:r w:rsidR="00D44269">
        <w:rPr>
          <w:rFonts w:eastAsia="Calibri"/>
          <w:lang w:eastAsia="en-US" w:bidi="ar-SA"/>
        </w:rPr>
        <w:t xml:space="preserve">revisions to the </w:t>
      </w:r>
      <w:r w:rsidR="004F7D91">
        <w:rPr>
          <w:rFonts w:eastAsia="Calibri"/>
          <w:lang w:eastAsia="en-US" w:bidi="ar-SA"/>
        </w:rPr>
        <w:t>CILEX Compensation Arrangements</w:t>
      </w:r>
      <w:r w:rsidRPr="001A4A92">
        <w:rPr>
          <w:rFonts w:eastAsia="Calibri"/>
          <w:lang w:eastAsia="en-US" w:bidi="ar-SA"/>
        </w:rPr>
        <w:t xml:space="preserve"> Rules are attached to this consultation at </w:t>
      </w:r>
      <w:r w:rsidRPr="001A4A92">
        <w:rPr>
          <w:rFonts w:eastAsia="Calibri"/>
          <w:b/>
          <w:bCs/>
          <w:lang w:eastAsia="en-US" w:bidi="ar-SA"/>
        </w:rPr>
        <w:t>Annex 1</w:t>
      </w:r>
      <w:r w:rsidRPr="001A4A92">
        <w:rPr>
          <w:rFonts w:eastAsia="Calibri"/>
          <w:b/>
          <w:lang w:eastAsia="en-US" w:bidi="ar-SA"/>
        </w:rPr>
        <w:t>.</w:t>
      </w:r>
      <w:r w:rsidRPr="001A4A92">
        <w:rPr>
          <w:rFonts w:eastAsia="Calibri"/>
          <w:lang w:eastAsia="en-US" w:bidi="ar-SA"/>
        </w:rPr>
        <w:t xml:space="preserve"> </w:t>
      </w:r>
      <w:r w:rsidR="00303B92">
        <w:rPr>
          <w:rFonts w:eastAsia="Calibri"/>
          <w:lang w:eastAsia="en-US" w:bidi="ar-SA"/>
        </w:rPr>
        <w:t xml:space="preserve">Although there will be no insurance policy in the immediate term, some references to </w:t>
      </w:r>
      <w:r w:rsidR="00214A9E">
        <w:rPr>
          <w:rFonts w:eastAsia="Calibri"/>
          <w:lang w:eastAsia="en-US" w:bidi="ar-SA"/>
        </w:rPr>
        <w:t>a policy have been retained within the rules in case of future access to a policy.</w:t>
      </w:r>
    </w:p>
    <w:p w14:paraId="24A8D52B" w14:textId="7C06A1F8" w:rsidR="00F41D80" w:rsidRDefault="00F41D80" w:rsidP="00F41D80">
      <w:pPr>
        <w:widowControl/>
        <w:autoSpaceDE/>
        <w:autoSpaceDN/>
        <w:spacing w:after="160" w:line="259" w:lineRule="auto"/>
        <w:contextualSpacing/>
        <w:rPr>
          <w:rFonts w:eastAsia="Calibri"/>
          <w:lang w:eastAsia="en-US" w:bidi="ar-SA"/>
        </w:rPr>
      </w:pPr>
    </w:p>
    <w:p w14:paraId="25808EA6" w14:textId="20CA8949" w:rsidR="00F41D80" w:rsidRPr="00F41D80" w:rsidRDefault="0006056D" w:rsidP="00F41D80">
      <w:pPr>
        <w:widowControl/>
        <w:numPr>
          <w:ilvl w:val="0"/>
          <w:numId w:val="1"/>
        </w:numPr>
        <w:autoSpaceDE/>
        <w:autoSpaceDN/>
        <w:spacing w:after="160" w:line="259" w:lineRule="auto"/>
        <w:contextualSpacing/>
        <w:rPr>
          <w:rFonts w:eastAsia="Calibri"/>
          <w:lang w:eastAsia="en-US" w:bidi="ar-SA"/>
        </w:rPr>
      </w:pPr>
      <w:r>
        <w:rPr>
          <w:rFonts w:eastAsia="Calibri"/>
          <w:lang w:eastAsia="en-US" w:bidi="ar-SA"/>
        </w:rPr>
        <w:t>A letter from the Actuary confirming his recommendation for the changes set out in this consultation</w:t>
      </w:r>
      <w:r w:rsidR="005C0598">
        <w:rPr>
          <w:rFonts w:eastAsia="Calibri"/>
          <w:lang w:eastAsia="en-US" w:bidi="ar-SA"/>
        </w:rPr>
        <w:t xml:space="preserve"> is attached</w:t>
      </w:r>
      <w:r w:rsidR="00F41D80" w:rsidRPr="001A4A92">
        <w:rPr>
          <w:rFonts w:eastAsia="Calibri"/>
          <w:lang w:eastAsia="en-US" w:bidi="ar-SA"/>
        </w:rPr>
        <w:t xml:space="preserve"> at </w:t>
      </w:r>
      <w:r w:rsidR="00F41D80" w:rsidRPr="001A4A92">
        <w:rPr>
          <w:rFonts w:eastAsia="Calibri"/>
          <w:b/>
          <w:bCs/>
          <w:lang w:eastAsia="en-US" w:bidi="ar-SA"/>
        </w:rPr>
        <w:t xml:space="preserve">Annex </w:t>
      </w:r>
      <w:r w:rsidR="00F41D80">
        <w:rPr>
          <w:rFonts w:eastAsia="Calibri"/>
          <w:b/>
          <w:bCs/>
          <w:lang w:eastAsia="en-US" w:bidi="ar-SA"/>
        </w:rPr>
        <w:t>2</w:t>
      </w:r>
      <w:r w:rsidR="00F41D80" w:rsidRPr="001A4A92">
        <w:rPr>
          <w:rFonts w:eastAsia="Calibri"/>
          <w:b/>
          <w:lang w:eastAsia="en-US" w:bidi="ar-SA"/>
        </w:rPr>
        <w:t>.</w:t>
      </w:r>
      <w:r w:rsidR="00F41D80" w:rsidRPr="001A4A92">
        <w:rPr>
          <w:rFonts w:eastAsia="Calibri"/>
          <w:lang w:eastAsia="en-US" w:bidi="ar-SA"/>
        </w:rPr>
        <w:t xml:space="preserve"> </w:t>
      </w:r>
    </w:p>
    <w:p w14:paraId="47DF93AD" w14:textId="77777777" w:rsidR="00AD4F3D" w:rsidRDefault="00AD4F3D" w:rsidP="00CE479D">
      <w:pPr>
        <w:widowControl/>
        <w:autoSpaceDE/>
        <w:autoSpaceDN/>
        <w:spacing w:after="160" w:line="259" w:lineRule="auto"/>
        <w:ind w:left="360"/>
        <w:contextualSpacing/>
        <w:rPr>
          <w:rFonts w:eastAsia="Calibri"/>
          <w:lang w:eastAsia="en-US" w:bidi="ar-SA"/>
        </w:rPr>
      </w:pPr>
      <w:bookmarkStart w:id="2" w:name="_Hlk516498618"/>
    </w:p>
    <w:p w14:paraId="44DDBAF7" w14:textId="315CD250" w:rsidR="00C93169" w:rsidRDefault="00C93169" w:rsidP="00CE479D">
      <w:pPr>
        <w:widowControl/>
        <w:autoSpaceDE/>
        <w:autoSpaceDN/>
        <w:spacing w:after="160" w:line="259" w:lineRule="auto"/>
        <w:rPr>
          <w:rFonts w:eastAsia="Calibri"/>
          <w:b/>
          <w:i/>
          <w:lang w:eastAsia="en-US" w:bidi="ar-SA"/>
        </w:rPr>
      </w:pPr>
      <w:r>
        <w:rPr>
          <w:rFonts w:eastAsia="Calibri"/>
          <w:b/>
          <w:color w:val="2F5496"/>
          <w:lang w:eastAsia="en-US" w:bidi="ar-SA"/>
        </w:rPr>
        <w:t>Consultation Questions</w:t>
      </w:r>
    </w:p>
    <w:p w14:paraId="29C92447" w14:textId="77777777" w:rsidR="00CE479D" w:rsidRDefault="00CE479D" w:rsidP="00CE479D">
      <w:pPr>
        <w:widowControl/>
        <w:autoSpaceDE/>
        <w:autoSpaceDN/>
        <w:spacing w:after="160" w:line="259" w:lineRule="auto"/>
        <w:contextualSpacing/>
        <w:rPr>
          <w:rFonts w:eastAsia="Calibri"/>
          <w:b/>
          <w:i/>
          <w:lang w:eastAsia="en-US" w:bidi="ar-SA"/>
        </w:rPr>
      </w:pPr>
    </w:p>
    <w:p w14:paraId="3F4A3280" w14:textId="48267C41" w:rsidR="001A4A92" w:rsidRPr="001A4A92" w:rsidRDefault="00CE479D" w:rsidP="00CE479D">
      <w:pPr>
        <w:widowControl/>
        <w:autoSpaceDE/>
        <w:autoSpaceDN/>
        <w:spacing w:after="160" w:line="259" w:lineRule="auto"/>
        <w:ind w:left="720"/>
        <w:contextualSpacing/>
        <w:rPr>
          <w:rFonts w:eastAsia="Calibri"/>
          <w:b/>
          <w:i/>
          <w:lang w:eastAsia="en-US" w:bidi="ar-SA"/>
        </w:rPr>
      </w:pPr>
      <w:r>
        <w:rPr>
          <w:rFonts w:eastAsia="Calibri"/>
          <w:b/>
          <w:i/>
          <w:lang w:eastAsia="en-US" w:bidi="ar-SA"/>
        </w:rPr>
        <w:t xml:space="preserve">Q1. </w:t>
      </w:r>
      <w:r w:rsidR="001A4A92" w:rsidRPr="001A4A92">
        <w:rPr>
          <w:rFonts w:eastAsia="Calibri"/>
          <w:b/>
          <w:i/>
          <w:lang w:eastAsia="en-US" w:bidi="ar-SA"/>
        </w:rPr>
        <w:t xml:space="preserve">Do you </w:t>
      </w:r>
      <w:r w:rsidR="00271729">
        <w:rPr>
          <w:rFonts w:eastAsia="Calibri"/>
          <w:b/>
          <w:i/>
          <w:lang w:eastAsia="en-US" w:bidi="ar-SA"/>
        </w:rPr>
        <w:t>agree with the approach that CILEx Regulation has taken to ensure there is ongoing consumer protection for the clients of firms regulated by CILEx Regulation</w:t>
      </w:r>
      <w:r w:rsidR="001A4A92" w:rsidRPr="001A4A92">
        <w:rPr>
          <w:rFonts w:eastAsia="Calibri"/>
          <w:b/>
          <w:i/>
          <w:lang w:eastAsia="en-US" w:bidi="ar-SA"/>
        </w:rPr>
        <w:t>?</w:t>
      </w:r>
    </w:p>
    <w:p w14:paraId="33917F63" w14:textId="77777777" w:rsidR="00CE479D" w:rsidRDefault="00CE479D" w:rsidP="00CE479D">
      <w:pPr>
        <w:widowControl/>
        <w:autoSpaceDE/>
        <w:autoSpaceDN/>
        <w:spacing w:after="160" w:line="259" w:lineRule="auto"/>
        <w:contextualSpacing/>
        <w:rPr>
          <w:rFonts w:eastAsia="Calibri"/>
          <w:b/>
          <w:i/>
          <w:lang w:eastAsia="en-US" w:bidi="ar-SA"/>
        </w:rPr>
      </w:pPr>
    </w:p>
    <w:p w14:paraId="4756D21F" w14:textId="5CBC017A" w:rsidR="001A4A92" w:rsidRDefault="001A4A92" w:rsidP="00CE479D">
      <w:pPr>
        <w:widowControl/>
        <w:autoSpaceDE/>
        <w:autoSpaceDN/>
        <w:spacing w:after="160" w:line="259" w:lineRule="auto"/>
        <w:ind w:left="720"/>
        <w:contextualSpacing/>
        <w:rPr>
          <w:rFonts w:eastAsia="Calibri"/>
          <w:b/>
          <w:i/>
          <w:lang w:eastAsia="en-US" w:bidi="ar-SA"/>
        </w:rPr>
      </w:pPr>
      <w:r w:rsidRPr="001A4A92">
        <w:rPr>
          <w:rFonts w:eastAsia="Calibri"/>
          <w:b/>
          <w:i/>
          <w:lang w:eastAsia="en-US" w:bidi="ar-SA"/>
        </w:rPr>
        <w:t>Yes/No? Please provide comments</w:t>
      </w:r>
      <w:r w:rsidR="0048507D">
        <w:rPr>
          <w:rFonts w:eastAsia="Calibri"/>
          <w:b/>
          <w:i/>
          <w:lang w:eastAsia="en-US" w:bidi="ar-SA"/>
        </w:rPr>
        <w:t>:</w:t>
      </w:r>
    </w:p>
    <w:p w14:paraId="06F62A61" w14:textId="2CC49040" w:rsidR="00786CA7" w:rsidRDefault="00786CA7" w:rsidP="001A4A92">
      <w:pPr>
        <w:widowControl/>
        <w:autoSpaceDE/>
        <w:autoSpaceDN/>
        <w:spacing w:after="160" w:line="259" w:lineRule="auto"/>
        <w:ind w:left="720"/>
        <w:contextualSpacing/>
        <w:rPr>
          <w:rFonts w:eastAsia="Calibri"/>
          <w:b/>
          <w:i/>
          <w:lang w:eastAsia="en-US" w:bidi="ar-SA"/>
        </w:rPr>
      </w:pPr>
    </w:p>
    <w:p w14:paraId="678BDD53" w14:textId="77777777" w:rsidR="00CE479D" w:rsidRDefault="00CE479D" w:rsidP="001A4A92">
      <w:pPr>
        <w:widowControl/>
        <w:autoSpaceDE/>
        <w:autoSpaceDN/>
        <w:spacing w:after="160" w:line="259" w:lineRule="auto"/>
        <w:ind w:left="720"/>
        <w:rPr>
          <w:rFonts w:eastAsiaTheme="minorHAnsi"/>
          <w:b/>
          <w:iCs/>
          <w:lang w:eastAsia="en-US" w:bidi="ar-SA"/>
        </w:rPr>
      </w:pPr>
      <w:bookmarkStart w:id="3" w:name="_Hlk516837396"/>
      <w:bookmarkEnd w:id="2"/>
    </w:p>
    <w:p w14:paraId="582CD8B3" w14:textId="6789532D" w:rsidR="001A4A92" w:rsidRPr="001A4A92" w:rsidRDefault="001A4A92" w:rsidP="001A4A92">
      <w:pPr>
        <w:widowControl/>
        <w:autoSpaceDE/>
        <w:autoSpaceDN/>
        <w:spacing w:after="160" w:line="259" w:lineRule="auto"/>
        <w:ind w:left="720"/>
        <w:rPr>
          <w:rFonts w:eastAsia="Calibri"/>
          <w:b/>
          <w:i/>
          <w:lang w:eastAsia="en-US" w:bidi="ar-SA"/>
        </w:rPr>
      </w:pPr>
      <w:r w:rsidRPr="001A4A92">
        <w:rPr>
          <w:rFonts w:eastAsia="Calibri"/>
          <w:b/>
          <w:i/>
          <w:lang w:eastAsia="en-US" w:bidi="ar-SA"/>
        </w:rPr>
        <w:t xml:space="preserve">Q2. </w:t>
      </w:r>
      <w:r w:rsidR="00AE29DA">
        <w:rPr>
          <w:rFonts w:eastAsia="Calibri"/>
          <w:b/>
          <w:i/>
          <w:lang w:eastAsia="en-US" w:bidi="ar-SA"/>
        </w:rPr>
        <w:t>CILEx Regulation has set out this approach to cover the next 12 months, do you have any views on the longer</w:t>
      </w:r>
      <w:r w:rsidR="00BC4C02">
        <w:rPr>
          <w:rFonts w:eastAsia="Calibri"/>
          <w:b/>
          <w:i/>
          <w:lang w:eastAsia="en-US" w:bidi="ar-SA"/>
        </w:rPr>
        <w:t>-</w:t>
      </w:r>
      <w:r w:rsidR="00AE29DA">
        <w:rPr>
          <w:rFonts w:eastAsia="Calibri"/>
          <w:b/>
          <w:i/>
          <w:lang w:eastAsia="en-US" w:bidi="ar-SA"/>
        </w:rPr>
        <w:t xml:space="preserve">term approach that CILEx Regulation may take to ensuring the </w:t>
      </w:r>
      <w:r w:rsidR="003151BF">
        <w:rPr>
          <w:rFonts w:eastAsia="Calibri"/>
          <w:b/>
          <w:i/>
          <w:lang w:eastAsia="en-US" w:bidi="ar-SA"/>
        </w:rPr>
        <w:t xml:space="preserve">protection of </w:t>
      </w:r>
      <w:r w:rsidR="00AE29DA">
        <w:rPr>
          <w:rFonts w:eastAsia="Calibri"/>
          <w:b/>
          <w:i/>
          <w:lang w:eastAsia="en-US" w:bidi="ar-SA"/>
        </w:rPr>
        <w:t>clients of CILEx Regulation firms</w:t>
      </w:r>
      <w:r w:rsidR="00C90B5F">
        <w:rPr>
          <w:rFonts w:eastAsia="Calibri"/>
          <w:b/>
          <w:i/>
          <w:lang w:eastAsia="en-US" w:bidi="ar-SA"/>
        </w:rPr>
        <w:t>?</w:t>
      </w:r>
      <w:bookmarkStart w:id="4" w:name="_Hlk516477028"/>
    </w:p>
    <w:p w14:paraId="650F87B8" w14:textId="0191FB77" w:rsidR="00C65BDA" w:rsidRDefault="001A4A92" w:rsidP="00AD4F3D">
      <w:pPr>
        <w:widowControl/>
        <w:autoSpaceDE/>
        <w:autoSpaceDN/>
        <w:spacing w:after="160" w:line="259" w:lineRule="auto"/>
        <w:rPr>
          <w:rFonts w:eastAsia="Calibri"/>
          <w:b/>
          <w:i/>
          <w:lang w:eastAsia="en-US" w:bidi="ar-SA"/>
        </w:rPr>
      </w:pPr>
      <w:r w:rsidRPr="001A4A92">
        <w:rPr>
          <w:rFonts w:eastAsia="Calibri"/>
          <w:b/>
          <w:i/>
          <w:lang w:eastAsia="en-US" w:bidi="ar-SA"/>
        </w:rPr>
        <w:tab/>
        <w:t>Yes/No?</w:t>
      </w:r>
      <w:r w:rsidR="0048507D">
        <w:rPr>
          <w:rFonts w:eastAsia="Calibri"/>
          <w:b/>
          <w:i/>
          <w:lang w:eastAsia="en-US" w:bidi="ar-SA"/>
        </w:rPr>
        <w:t xml:space="preserve">  </w:t>
      </w:r>
      <w:r w:rsidRPr="001A4A92">
        <w:rPr>
          <w:rFonts w:eastAsia="Calibri"/>
          <w:b/>
          <w:i/>
          <w:lang w:eastAsia="en-US" w:bidi="ar-SA"/>
        </w:rPr>
        <w:t>Please provide comments</w:t>
      </w:r>
      <w:bookmarkEnd w:id="3"/>
      <w:bookmarkEnd w:id="4"/>
      <w:r w:rsidR="0048507D">
        <w:rPr>
          <w:rFonts w:eastAsia="Calibri"/>
          <w:b/>
          <w:i/>
          <w:lang w:eastAsia="en-US" w:bidi="ar-SA"/>
        </w:rPr>
        <w:t>:</w:t>
      </w:r>
    </w:p>
    <w:p w14:paraId="5868BA67" w14:textId="77777777" w:rsidR="00AD4F3D" w:rsidRDefault="00AD4F3D" w:rsidP="00AD4F3D">
      <w:pPr>
        <w:widowControl/>
        <w:autoSpaceDE/>
        <w:autoSpaceDN/>
        <w:spacing w:after="160" w:line="259" w:lineRule="auto"/>
        <w:rPr>
          <w:rFonts w:eastAsia="Calibri"/>
          <w:b/>
          <w:i/>
          <w:lang w:eastAsia="en-US" w:bidi="ar-SA"/>
        </w:rPr>
      </w:pPr>
    </w:p>
    <w:p w14:paraId="1CF1023E" w14:textId="77777777" w:rsidR="00F21D35" w:rsidRDefault="00F21D35" w:rsidP="000175D8">
      <w:pPr>
        <w:widowControl/>
        <w:autoSpaceDE/>
        <w:autoSpaceDN/>
        <w:spacing w:after="160" w:line="259" w:lineRule="auto"/>
        <w:rPr>
          <w:rFonts w:eastAsia="Calibri"/>
          <w:b/>
          <w:sz w:val="24"/>
          <w:szCs w:val="24"/>
          <w:lang w:eastAsia="en-US" w:bidi="ar-SA"/>
        </w:rPr>
      </w:pPr>
    </w:p>
    <w:p w14:paraId="5F9A39D2" w14:textId="77777777" w:rsidR="00F21D35" w:rsidRDefault="00F21D35" w:rsidP="000175D8">
      <w:pPr>
        <w:widowControl/>
        <w:autoSpaceDE/>
        <w:autoSpaceDN/>
        <w:spacing w:after="160" w:line="259" w:lineRule="auto"/>
        <w:rPr>
          <w:rFonts w:eastAsia="Calibri"/>
          <w:b/>
          <w:sz w:val="24"/>
          <w:szCs w:val="24"/>
          <w:lang w:eastAsia="en-US" w:bidi="ar-SA"/>
        </w:rPr>
      </w:pPr>
    </w:p>
    <w:p w14:paraId="6E83E21F" w14:textId="64EFD3B9" w:rsidR="000175D8" w:rsidRPr="00790244" w:rsidRDefault="000175D8" w:rsidP="000175D8">
      <w:pPr>
        <w:widowControl/>
        <w:autoSpaceDE/>
        <w:autoSpaceDN/>
        <w:spacing w:after="160" w:line="259" w:lineRule="auto"/>
        <w:rPr>
          <w:rFonts w:eastAsia="Calibri"/>
          <w:sz w:val="24"/>
          <w:szCs w:val="24"/>
          <w:lang w:eastAsia="en-US" w:bidi="ar-SA"/>
        </w:rPr>
      </w:pPr>
      <w:r w:rsidRPr="00790244">
        <w:rPr>
          <w:rFonts w:eastAsia="Calibri"/>
          <w:b/>
          <w:sz w:val="24"/>
          <w:szCs w:val="24"/>
          <w:lang w:eastAsia="en-US" w:bidi="ar-SA"/>
        </w:rPr>
        <w:t xml:space="preserve">How to respond  </w:t>
      </w:r>
    </w:p>
    <w:p w14:paraId="1CB9FA7C" w14:textId="454593D7" w:rsidR="00E34403" w:rsidRPr="005379D9" w:rsidRDefault="00E34403" w:rsidP="005379D9">
      <w:pPr>
        <w:rPr>
          <w:rFonts w:eastAsiaTheme="minorHAnsi"/>
          <w:lang w:bidi="ar-SA"/>
        </w:rPr>
      </w:pPr>
      <w:r>
        <w:t xml:space="preserve">Please send your response to CILEx Regulation by email to </w:t>
      </w:r>
      <w:hyperlink r:id="rId10" w:history="1">
        <w:r>
          <w:rPr>
            <w:rStyle w:val="Hyperlink"/>
          </w:rPr>
          <w:t>consultations@cilexregulation.org.uk</w:t>
        </w:r>
      </w:hyperlink>
      <w:r>
        <w:t xml:space="preserve">. Please mark it for the attention of </w:t>
      </w:r>
      <w:r w:rsidR="00271729">
        <w:t>Vicky Purtill</w:t>
      </w:r>
      <w:r>
        <w:t>.</w:t>
      </w:r>
    </w:p>
    <w:p w14:paraId="25CB235E" w14:textId="77777777" w:rsidR="00E34403" w:rsidRDefault="00E34403" w:rsidP="005379D9">
      <w:pPr>
        <w:pStyle w:val="Heading2"/>
        <w:spacing w:before="0" w:after="0" w:line="240" w:lineRule="auto"/>
        <w:ind w:left="780"/>
        <w:rPr>
          <w:rFonts w:ascii="Arial" w:eastAsia="Times New Roman" w:hAnsi="Arial" w:cs="Arial"/>
          <w:sz w:val="22"/>
          <w:szCs w:val="22"/>
        </w:rPr>
      </w:pPr>
    </w:p>
    <w:p w14:paraId="31501D2F" w14:textId="1A0805D7" w:rsidR="00E34403" w:rsidRPr="005379D9" w:rsidRDefault="00E34403" w:rsidP="005379D9">
      <w:pPr>
        <w:rPr>
          <w:rFonts w:eastAsiaTheme="minorHAnsi"/>
        </w:rPr>
      </w:pPr>
      <w:r>
        <w:t xml:space="preserve">Our office is closed until further notice because of the government requirements due to the corona virus and we can only receive responses via email. Please check on our website for information to find out if this situation changes before the consultation closes on </w:t>
      </w:r>
      <w:r w:rsidR="00322252">
        <w:t>13 August</w:t>
      </w:r>
      <w:r w:rsidR="0012629F">
        <w:t xml:space="preserve"> 2021</w:t>
      </w:r>
      <w:r>
        <w:t>.</w:t>
      </w:r>
    </w:p>
    <w:p w14:paraId="5B44A10D" w14:textId="77777777" w:rsidR="000175D8" w:rsidRPr="00790244" w:rsidRDefault="000175D8" w:rsidP="000175D8">
      <w:pPr>
        <w:widowControl/>
        <w:autoSpaceDE/>
        <w:autoSpaceDN/>
        <w:spacing w:after="160" w:line="259" w:lineRule="auto"/>
        <w:rPr>
          <w:rFonts w:eastAsia="Calibri"/>
          <w:b/>
          <w:lang w:eastAsia="en-US" w:bidi="ar-SA"/>
        </w:rPr>
      </w:pPr>
    </w:p>
    <w:p w14:paraId="19375AE2" w14:textId="44E78C5D" w:rsidR="0012629F" w:rsidRPr="00790244" w:rsidRDefault="000175D8" w:rsidP="000175D8">
      <w:pPr>
        <w:widowControl/>
        <w:autoSpaceDE/>
        <w:autoSpaceDN/>
        <w:spacing w:after="160" w:line="259" w:lineRule="auto"/>
        <w:rPr>
          <w:rFonts w:eastAsia="Calibri"/>
          <w:b/>
          <w:sz w:val="24"/>
          <w:szCs w:val="24"/>
          <w:lang w:eastAsia="en-US" w:bidi="ar-SA"/>
        </w:rPr>
      </w:pPr>
      <w:r w:rsidRPr="00790244">
        <w:rPr>
          <w:rFonts w:eastAsia="Calibri"/>
          <w:b/>
          <w:sz w:val="24"/>
          <w:szCs w:val="24"/>
          <w:lang w:eastAsia="en-US" w:bidi="ar-SA"/>
        </w:rPr>
        <w:t xml:space="preserve">Submission deadline </w:t>
      </w:r>
    </w:p>
    <w:p w14:paraId="17F3C3AC" w14:textId="1D35F3AF" w:rsidR="000175D8" w:rsidRPr="00790244" w:rsidRDefault="000175D8" w:rsidP="000175D8">
      <w:pPr>
        <w:widowControl/>
        <w:autoSpaceDE/>
        <w:autoSpaceDN/>
        <w:spacing w:after="160" w:line="259" w:lineRule="auto"/>
        <w:rPr>
          <w:rFonts w:eastAsia="Calibri"/>
          <w:b/>
          <w:lang w:eastAsia="en-US" w:bidi="ar-SA"/>
        </w:rPr>
      </w:pPr>
      <w:r w:rsidRPr="00790244">
        <w:rPr>
          <w:rFonts w:eastAsia="Calibri"/>
          <w:lang w:eastAsia="en-US" w:bidi="ar-SA"/>
        </w:rPr>
        <w:t xml:space="preserve">Please respond by </w:t>
      </w:r>
      <w:r w:rsidR="00AE29DA" w:rsidRPr="00AE29DA">
        <w:rPr>
          <w:rFonts w:eastAsia="Calibri"/>
          <w:b/>
          <w:bCs/>
          <w:lang w:eastAsia="en-US" w:bidi="ar-SA"/>
        </w:rPr>
        <w:t>5</w:t>
      </w:r>
      <w:r w:rsidRPr="00930A6A">
        <w:rPr>
          <w:rFonts w:eastAsia="Calibri"/>
          <w:b/>
          <w:bCs/>
          <w:lang w:eastAsia="en-US" w:bidi="ar-SA"/>
        </w:rPr>
        <w:t xml:space="preserve">pm on </w:t>
      </w:r>
      <w:r w:rsidR="00322252">
        <w:rPr>
          <w:rFonts w:eastAsia="Calibri"/>
          <w:b/>
          <w:bCs/>
          <w:lang w:eastAsia="en-US" w:bidi="ar-SA"/>
        </w:rPr>
        <w:t>13 August</w:t>
      </w:r>
      <w:r w:rsidR="0012629F">
        <w:rPr>
          <w:rFonts w:eastAsia="Calibri"/>
          <w:b/>
          <w:bCs/>
          <w:lang w:eastAsia="en-US" w:bidi="ar-SA"/>
        </w:rPr>
        <w:t xml:space="preserve"> 2021</w:t>
      </w:r>
      <w:r w:rsidRPr="00790244">
        <w:rPr>
          <w:rFonts w:eastAsia="Calibri"/>
          <w:lang w:eastAsia="en-US" w:bidi="ar-SA"/>
        </w:rPr>
        <w:t xml:space="preserve">. </w:t>
      </w:r>
    </w:p>
    <w:p w14:paraId="48A5803D" w14:textId="77777777" w:rsidR="00B06F7F" w:rsidRDefault="00B06F7F">
      <w:pPr>
        <w:pStyle w:val="BodyText"/>
        <w:spacing w:before="10"/>
        <w:rPr>
          <w:rFonts w:ascii="Times New Roman"/>
          <w:sz w:val="15"/>
        </w:rPr>
      </w:pPr>
    </w:p>
    <w:p w14:paraId="1B441D76" w14:textId="77777777" w:rsidR="00B06F7F" w:rsidRDefault="00B06F7F">
      <w:pPr>
        <w:rPr>
          <w:rFonts w:ascii="Times New Roman"/>
          <w:sz w:val="15"/>
        </w:rPr>
      </w:pPr>
    </w:p>
    <w:p w14:paraId="09EC4B7C" w14:textId="5B205613" w:rsidR="00BB2671" w:rsidRDefault="00257F4F">
      <w:pPr>
        <w:rPr>
          <w:rFonts w:ascii="Times New Roman"/>
          <w:sz w:val="15"/>
        </w:rPr>
      </w:pPr>
      <w:r w:rsidRPr="00257F4F">
        <w:rPr>
          <w:rFonts w:eastAsia="Calibri"/>
          <w:lang w:eastAsia="en-US" w:bidi="ar-SA"/>
        </w:rPr>
        <w:t>Ends</w:t>
      </w:r>
    </w:p>
    <w:p w14:paraId="50416CC0" w14:textId="77777777" w:rsidR="00BB2671" w:rsidRDefault="00BB2671">
      <w:pPr>
        <w:rPr>
          <w:rFonts w:ascii="Times New Roman"/>
          <w:sz w:val="15"/>
        </w:rPr>
      </w:pPr>
    </w:p>
    <w:p w14:paraId="10356CC5" w14:textId="49189CBA" w:rsidR="00BB2671" w:rsidRDefault="00BB2671">
      <w:pPr>
        <w:rPr>
          <w:rFonts w:ascii="Times New Roman"/>
          <w:sz w:val="15"/>
        </w:rPr>
        <w:sectPr w:rsidR="00BB2671" w:rsidSect="00790244">
          <w:headerReference w:type="default" r:id="rId11"/>
          <w:footerReference w:type="default" r:id="rId12"/>
          <w:type w:val="continuous"/>
          <w:pgSz w:w="11910" w:h="16840"/>
          <w:pgMar w:top="840" w:right="620" w:bottom="280" w:left="993" w:header="720" w:footer="720" w:gutter="0"/>
          <w:cols w:space="720"/>
        </w:sectPr>
      </w:pPr>
    </w:p>
    <w:p w14:paraId="7B8FA732" w14:textId="728921E5" w:rsidR="00B06F7F" w:rsidRDefault="00B06F7F" w:rsidP="00C93169">
      <w:pPr>
        <w:spacing w:before="93"/>
        <w:ind w:left="117"/>
        <w:rPr>
          <w:sz w:val="15"/>
        </w:rPr>
      </w:pPr>
    </w:p>
    <w:sectPr w:rsidR="00B06F7F" w:rsidSect="007D3FCA">
      <w:type w:val="continuous"/>
      <w:pgSz w:w="11910" w:h="16840"/>
      <w:pgMar w:top="840" w:right="620" w:bottom="280" w:left="851" w:header="720" w:footer="720" w:gutter="0"/>
      <w:cols w:num="2" w:space="720" w:equalWidth="0">
        <w:col w:w="5908" w:space="1477"/>
        <w:col w:w="26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D378" w14:textId="77777777" w:rsidR="00103625" w:rsidRDefault="00103625" w:rsidP="00753D96">
      <w:r>
        <w:separator/>
      </w:r>
    </w:p>
  </w:endnote>
  <w:endnote w:type="continuationSeparator" w:id="0">
    <w:p w14:paraId="3D350075" w14:textId="77777777" w:rsidR="00103625" w:rsidRDefault="00103625" w:rsidP="007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5B31" w14:textId="593ADBB6" w:rsidR="007967A4" w:rsidRPr="002D3668" w:rsidRDefault="00C93169">
    <w:pPr>
      <w:pStyle w:val="Footer"/>
      <w:rPr>
        <w:color w:val="231F20"/>
        <w:sz w:val="15"/>
      </w:rPr>
    </w:pPr>
    <w:r w:rsidRPr="00C93169">
      <w:rPr>
        <w:noProof/>
        <w:lang w:bidi="ar-SA"/>
      </w:rPr>
      <w:drawing>
        <wp:inline distT="0" distB="0" distL="0" distR="0" wp14:anchorId="5CFD9169" wp14:editId="5D5BC654">
          <wp:extent cx="6538595" cy="93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8595" cy="930275"/>
                  </a:xfrm>
                  <a:prstGeom prst="rect">
                    <a:avLst/>
                  </a:prstGeom>
                  <a:noFill/>
                  <a:ln>
                    <a:noFill/>
                  </a:ln>
                </pic:spPr>
              </pic:pic>
            </a:graphicData>
          </a:graphic>
        </wp:inline>
      </w:drawing>
    </w:r>
    <w:r w:rsidR="005A2E3E" w:rsidRPr="00566B7E">
      <w:br w:type="column"/>
    </w:r>
    <w:r w:rsidR="005A2E3E">
      <w:t xml:space="preserve"> </w:t>
    </w:r>
    <w:bookmarkStart w:id="5" w:name="_Hlk37084693"/>
    <w:r w:rsidR="005A2E3E">
      <w:t xml:space="preserve"> </w:t>
    </w:r>
    <w:bookmarkEnd w:id="5"/>
    <w:r w:rsidR="005A2E3E">
      <w:ptab w:relativeTo="margin" w:alignment="center" w:leader="none"/>
    </w:r>
    <w:r w:rsidR="006C456B">
      <w:rPr>
        <w:color w:val="231F20"/>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604E" w14:textId="77777777" w:rsidR="00103625" w:rsidRDefault="00103625" w:rsidP="00753D96">
      <w:r>
        <w:separator/>
      </w:r>
    </w:p>
  </w:footnote>
  <w:footnote w:type="continuationSeparator" w:id="0">
    <w:p w14:paraId="46D77181" w14:textId="77777777" w:rsidR="00103625" w:rsidRDefault="00103625" w:rsidP="0075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E4F7" w14:textId="5FDE0E3D" w:rsidR="00657FC9" w:rsidRDefault="00657FC9">
    <w:pPr>
      <w:pStyle w:val="Header"/>
    </w:pPr>
    <w:r w:rsidRPr="00F04A4E">
      <w:rPr>
        <w:rFonts w:ascii="Times New Roman"/>
        <w:noProof/>
        <w:sz w:val="20"/>
        <w:lang w:bidi="ar-SA"/>
      </w:rPr>
      <w:drawing>
        <wp:inline distT="0" distB="0" distL="0" distR="0" wp14:anchorId="64D5272E" wp14:editId="6F2C774B">
          <wp:extent cx="1724025" cy="630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77" cy="644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CA"/>
    <w:multiLevelType w:val="hybridMultilevel"/>
    <w:tmpl w:val="AAA402E2"/>
    <w:lvl w:ilvl="0" w:tplc="940889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61C58"/>
    <w:multiLevelType w:val="hybridMultilevel"/>
    <w:tmpl w:val="AAA402E2"/>
    <w:lvl w:ilvl="0" w:tplc="940889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F138D"/>
    <w:multiLevelType w:val="hybridMultilevel"/>
    <w:tmpl w:val="6E286B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B86327"/>
    <w:multiLevelType w:val="hybridMultilevel"/>
    <w:tmpl w:val="57749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317AAB"/>
    <w:multiLevelType w:val="hybridMultilevel"/>
    <w:tmpl w:val="FD148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F83440"/>
    <w:multiLevelType w:val="hybridMultilevel"/>
    <w:tmpl w:val="B8E6E892"/>
    <w:lvl w:ilvl="0" w:tplc="940889D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F74F6"/>
    <w:multiLevelType w:val="hybridMultilevel"/>
    <w:tmpl w:val="B5CCCC8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EB82A38"/>
    <w:multiLevelType w:val="multilevel"/>
    <w:tmpl w:val="9EB048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11B2ED6"/>
    <w:multiLevelType w:val="hybridMultilevel"/>
    <w:tmpl w:val="0E8430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4B3B5F"/>
    <w:multiLevelType w:val="hybridMultilevel"/>
    <w:tmpl w:val="EAD806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D38AD"/>
    <w:multiLevelType w:val="hybridMultilevel"/>
    <w:tmpl w:val="AAA402E2"/>
    <w:lvl w:ilvl="0" w:tplc="940889D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212D6"/>
    <w:multiLevelType w:val="hybridMultilevel"/>
    <w:tmpl w:val="8FB80E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22043F"/>
    <w:multiLevelType w:val="hybridMultilevel"/>
    <w:tmpl w:val="05527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0C5B40"/>
    <w:multiLevelType w:val="hybridMultilevel"/>
    <w:tmpl w:val="741CF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D7356"/>
    <w:multiLevelType w:val="hybridMultilevel"/>
    <w:tmpl w:val="E5881B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4"/>
  </w:num>
  <w:num w:numId="4">
    <w:abstractNumId w:val="2"/>
  </w:num>
  <w:num w:numId="5">
    <w:abstractNumId w:val="7"/>
  </w:num>
  <w:num w:numId="6">
    <w:abstractNumId w:val="14"/>
  </w:num>
  <w:num w:numId="7">
    <w:abstractNumId w:val="0"/>
  </w:num>
  <w:num w:numId="8">
    <w:abstractNumId w:val="1"/>
  </w:num>
  <w:num w:numId="9">
    <w:abstractNumId w:val="6"/>
  </w:num>
  <w:num w:numId="10">
    <w:abstractNumId w:val="3"/>
  </w:num>
  <w:num w:numId="11">
    <w:abstractNumId w:val="12"/>
  </w:num>
  <w:num w:numId="12">
    <w:abstractNumId w:val="13"/>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F7F"/>
    <w:rsid w:val="00004DFC"/>
    <w:rsid w:val="000074C7"/>
    <w:rsid w:val="00007841"/>
    <w:rsid w:val="00011F61"/>
    <w:rsid w:val="000175D8"/>
    <w:rsid w:val="00035BE6"/>
    <w:rsid w:val="00044591"/>
    <w:rsid w:val="0004657B"/>
    <w:rsid w:val="0006056D"/>
    <w:rsid w:val="00060E08"/>
    <w:rsid w:val="0006675C"/>
    <w:rsid w:val="00080618"/>
    <w:rsid w:val="000958DD"/>
    <w:rsid w:val="000D6AB5"/>
    <w:rsid w:val="000F1D2F"/>
    <w:rsid w:val="00103625"/>
    <w:rsid w:val="001215CC"/>
    <w:rsid w:val="001220D1"/>
    <w:rsid w:val="0012629F"/>
    <w:rsid w:val="00134113"/>
    <w:rsid w:val="00141C96"/>
    <w:rsid w:val="00176315"/>
    <w:rsid w:val="00190329"/>
    <w:rsid w:val="001A4A92"/>
    <w:rsid w:val="001C28DB"/>
    <w:rsid w:val="001C5DF2"/>
    <w:rsid w:val="00203C9B"/>
    <w:rsid w:val="00204019"/>
    <w:rsid w:val="00214A9E"/>
    <w:rsid w:val="00240D4D"/>
    <w:rsid w:val="00257F4F"/>
    <w:rsid w:val="00271729"/>
    <w:rsid w:val="002A4E90"/>
    <w:rsid w:val="002B3208"/>
    <w:rsid w:val="002B5F85"/>
    <w:rsid w:val="002C3211"/>
    <w:rsid w:val="002D2A4F"/>
    <w:rsid w:val="002D3668"/>
    <w:rsid w:val="002F365A"/>
    <w:rsid w:val="00303B92"/>
    <w:rsid w:val="00312EE5"/>
    <w:rsid w:val="003151BF"/>
    <w:rsid w:val="00315692"/>
    <w:rsid w:val="00322252"/>
    <w:rsid w:val="00324230"/>
    <w:rsid w:val="0032786D"/>
    <w:rsid w:val="00336053"/>
    <w:rsid w:val="00384418"/>
    <w:rsid w:val="003A3316"/>
    <w:rsid w:val="003B411A"/>
    <w:rsid w:val="003E5021"/>
    <w:rsid w:val="0044581B"/>
    <w:rsid w:val="00447D4C"/>
    <w:rsid w:val="004569FA"/>
    <w:rsid w:val="004658FF"/>
    <w:rsid w:val="00470610"/>
    <w:rsid w:val="00477CEA"/>
    <w:rsid w:val="0048507D"/>
    <w:rsid w:val="00491F97"/>
    <w:rsid w:val="004C2555"/>
    <w:rsid w:val="004C491C"/>
    <w:rsid w:val="004D0963"/>
    <w:rsid w:val="004D3140"/>
    <w:rsid w:val="004F7D91"/>
    <w:rsid w:val="0051231C"/>
    <w:rsid w:val="00530ED0"/>
    <w:rsid w:val="005379D9"/>
    <w:rsid w:val="00544E05"/>
    <w:rsid w:val="00550DBB"/>
    <w:rsid w:val="00566B7E"/>
    <w:rsid w:val="00567AB8"/>
    <w:rsid w:val="00574076"/>
    <w:rsid w:val="005A2E3E"/>
    <w:rsid w:val="005C0598"/>
    <w:rsid w:val="005E66FF"/>
    <w:rsid w:val="005F62A8"/>
    <w:rsid w:val="00606A6E"/>
    <w:rsid w:val="00606C67"/>
    <w:rsid w:val="006111AF"/>
    <w:rsid w:val="0062217A"/>
    <w:rsid w:val="00657FC9"/>
    <w:rsid w:val="00661168"/>
    <w:rsid w:val="006639A3"/>
    <w:rsid w:val="006A5A79"/>
    <w:rsid w:val="006B62AF"/>
    <w:rsid w:val="006C456B"/>
    <w:rsid w:val="006E0FFA"/>
    <w:rsid w:val="006E6B50"/>
    <w:rsid w:val="006F76CC"/>
    <w:rsid w:val="007060C5"/>
    <w:rsid w:val="00717F3A"/>
    <w:rsid w:val="00753D96"/>
    <w:rsid w:val="00754F9C"/>
    <w:rsid w:val="007610EB"/>
    <w:rsid w:val="007677EB"/>
    <w:rsid w:val="007866B8"/>
    <w:rsid w:val="00786CA7"/>
    <w:rsid w:val="00790244"/>
    <w:rsid w:val="007967A4"/>
    <w:rsid w:val="007A067F"/>
    <w:rsid w:val="007A27C5"/>
    <w:rsid w:val="007A4881"/>
    <w:rsid w:val="007B3953"/>
    <w:rsid w:val="007B7301"/>
    <w:rsid w:val="007D258F"/>
    <w:rsid w:val="007D3FCA"/>
    <w:rsid w:val="007E718E"/>
    <w:rsid w:val="00801E22"/>
    <w:rsid w:val="00817469"/>
    <w:rsid w:val="0083397A"/>
    <w:rsid w:val="008340D6"/>
    <w:rsid w:val="00836F75"/>
    <w:rsid w:val="00841D8D"/>
    <w:rsid w:val="00846480"/>
    <w:rsid w:val="0085239C"/>
    <w:rsid w:val="00877843"/>
    <w:rsid w:val="00881C4B"/>
    <w:rsid w:val="00887A87"/>
    <w:rsid w:val="008D3779"/>
    <w:rsid w:val="008E6B69"/>
    <w:rsid w:val="008F7E85"/>
    <w:rsid w:val="00921AAF"/>
    <w:rsid w:val="00930A6A"/>
    <w:rsid w:val="00935C70"/>
    <w:rsid w:val="00951E8B"/>
    <w:rsid w:val="009A230E"/>
    <w:rsid w:val="009B1E8F"/>
    <w:rsid w:val="009D14ED"/>
    <w:rsid w:val="009D5828"/>
    <w:rsid w:val="009F53AD"/>
    <w:rsid w:val="00A05547"/>
    <w:rsid w:val="00A123D5"/>
    <w:rsid w:val="00A37FC2"/>
    <w:rsid w:val="00A438C0"/>
    <w:rsid w:val="00A561CA"/>
    <w:rsid w:val="00A8756D"/>
    <w:rsid w:val="00AB52B3"/>
    <w:rsid w:val="00AD4F3D"/>
    <w:rsid w:val="00AD5AC8"/>
    <w:rsid w:val="00AE29DA"/>
    <w:rsid w:val="00AE6271"/>
    <w:rsid w:val="00B06F7F"/>
    <w:rsid w:val="00B118CC"/>
    <w:rsid w:val="00B14B38"/>
    <w:rsid w:val="00B21805"/>
    <w:rsid w:val="00B21983"/>
    <w:rsid w:val="00B240B0"/>
    <w:rsid w:val="00B3075C"/>
    <w:rsid w:val="00B34920"/>
    <w:rsid w:val="00B35D28"/>
    <w:rsid w:val="00B50427"/>
    <w:rsid w:val="00B550C2"/>
    <w:rsid w:val="00B55530"/>
    <w:rsid w:val="00B80112"/>
    <w:rsid w:val="00B82A9B"/>
    <w:rsid w:val="00BA4E6F"/>
    <w:rsid w:val="00BB2671"/>
    <w:rsid w:val="00BC1369"/>
    <w:rsid w:val="00BC4C02"/>
    <w:rsid w:val="00BC59F0"/>
    <w:rsid w:val="00BF030E"/>
    <w:rsid w:val="00C149C8"/>
    <w:rsid w:val="00C42568"/>
    <w:rsid w:val="00C555F8"/>
    <w:rsid w:val="00C65BDA"/>
    <w:rsid w:val="00C70F9F"/>
    <w:rsid w:val="00C76968"/>
    <w:rsid w:val="00C81EEB"/>
    <w:rsid w:val="00C8629F"/>
    <w:rsid w:val="00C90B5F"/>
    <w:rsid w:val="00C93169"/>
    <w:rsid w:val="00CB5421"/>
    <w:rsid w:val="00CE479D"/>
    <w:rsid w:val="00CF1849"/>
    <w:rsid w:val="00D177BF"/>
    <w:rsid w:val="00D238DF"/>
    <w:rsid w:val="00D3463E"/>
    <w:rsid w:val="00D4030B"/>
    <w:rsid w:val="00D43E04"/>
    <w:rsid w:val="00D44269"/>
    <w:rsid w:val="00D62C3F"/>
    <w:rsid w:val="00D95E92"/>
    <w:rsid w:val="00DB248E"/>
    <w:rsid w:val="00DD7DCC"/>
    <w:rsid w:val="00DE2745"/>
    <w:rsid w:val="00E34403"/>
    <w:rsid w:val="00E664A0"/>
    <w:rsid w:val="00E773CA"/>
    <w:rsid w:val="00E853BB"/>
    <w:rsid w:val="00EA3E94"/>
    <w:rsid w:val="00EB1593"/>
    <w:rsid w:val="00EB47FE"/>
    <w:rsid w:val="00EC50E5"/>
    <w:rsid w:val="00EE57A4"/>
    <w:rsid w:val="00EE5CD2"/>
    <w:rsid w:val="00F04A4E"/>
    <w:rsid w:val="00F07599"/>
    <w:rsid w:val="00F12CAB"/>
    <w:rsid w:val="00F21D35"/>
    <w:rsid w:val="00F33E14"/>
    <w:rsid w:val="00F41D80"/>
    <w:rsid w:val="00F44D53"/>
    <w:rsid w:val="00F70EF1"/>
    <w:rsid w:val="00F70F62"/>
    <w:rsid w:val="00FB605B"/>
    <w:rsid w:val="00FD0743"/>
    <w:rsid w:val="00FE4387"/>
    <w:rsid w:val="00FF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2C0FD"/>
  <w15:docId w15:val="{B77D5A2F-C7CB-4F9B-A473-79F5BB77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2">
    <w:name w:val="heading 2"/>
    <w:basedOn w:val="Normal"/>
    <w:link w:val="Heading2Char"/>
    <w:uiPriority w:val="9"/>
    <w:unhideWhenUsed/>
    <w:qFormat/>
    <w:rsid w:val="00E34403"/>
    <w:pPr>
      <w:keepNext/>
      <w:widowControl/>
      <w:autoSpaceDE/>
      <w:autoSpaceDN/>
      <w:spacing w:before="480" w:after="240" w:line="276" w:lineRule="auto"/>
      <w:outlineLvl w:val="1"/>
    </w:pPr>
    <w:rPr>
      <w:rFonts w:ascii="Tahoma" w:eastAsiaTheme="minorHAnsi" w:hAnsi="Tahoma" w:cs="Tahoma"/>
      <w:b/>
      <w:bCs/>
      <w:color w:val="2F5496"/>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D96"/>
    <w:pPr>
      <w:tabs>
        <w:tab w:val="center" w:pos="4513"/>
        <w:tab w:val="right" w:pos="9026"/>
      </w:tabs>
    </w:pPr>
  </w:style>
  <w:style w:type="character" w:customStyle="1" w:styleId="HeaderChar">
    <w:name w:val="Header Char"/>
    <w:basedOn w:val="DefaultParagraphFont"/>
    <w:link w:val="Header"/>
    <w:uiPriority w:val="99"/>
    <w:rsid w:val="00753D96"/>
    <w:rPr>
      <w:rFonts w:ascii="Arial" w:eastAsia="Arial" w:hAnsi="Arial" w:cs="Arial"/>
      <w:lang w:val="en-GB" w:eastAsia="en-GB" w:bidi="en-GB"/>
    </w:rPr>
  </w:style>
  <w:style w:type="paragraph" w:styleId="Footer">
    <w:name w:val="footer"/>
    <w:basedOn w:val="Normal"/>
    <w:link w:val="FooterChar"/>
    <w:uiPriority w:val="99"/>
    <w:unhideWhenUsed/>
    <w:rsid w:val="00753D96"/>
    <w:pPr>
      <w:tabs>
        <w:tab w:val="center" w:pos="4513"/>
        <w:tab w:val="right" w:pos="9026"/>
      </w:tabs>
    </w:pPr>
  </w:style>
  <w:style w:type="character" w:customStyle="1" w:styleId="FooterChar">
    <w:name w:val="Footer Char"/>
    <w:basedOn w:val="DefaultParagraphFont"/>
    <w:link w:val="Footer"/>
    <w:uiPriority w:val="99"/>
    <w:rsid w:val="00753D9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4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4"/>
    <w:rPr>
      <w:rFonts w:ascii="Segoe UI" w:eastAsia="Arial" w:hAnsi="Segoe UI" w:cs="Segoe UI"/>
      <w:sz w:val="18"/>
      <w:szCs w:val="18"/>
      <w:lang w:val="en-GB" w:eastAsia="en-GB" w:bidi="en-GB"/>
    </w:rPr>
  </w:style>
  <w:style w:type="character" w:customStyle="1" w:styleId="Heading2Char">
    <w:name w:val="Heading 2 Char"/>
    <w:basedOn w:val="DefaultParagraphFont"/>
    <w:link w:val="Heading2"/>
    <w:uiPriority w:val="9"/>
    <w:rsid w:val="00E34403"/>
    <w:rPr>
      <w:rFonts w:ascii="Tahoma" w:hAnsi="Tahoma" w:cs="Tahoma"/>
      <w:b/>
      <w:bCs/>
      <w:color w:val="2F5496"/>
      <w:sz w:val="24"/>
      <w:szCs w:val="24"/>
      <w:lang w:val="en-GB"/>
    </w:rPr>
  </w:style>
  <w:style w:type="character" w:styleId="Hyperlink">
    <w:name w:val="Hyperlink"/>
    <w:basedOn w:val="DefaultParagraphFont"/>
    <w:uiPriority w:val="99"/>
    <w:unhideWhenUsed/>
    <w:rsid w:val="00E34403"/>
    <w:rPr>
      <w:color w:val="0563C1"/>
      <w:u w:val="single"/>
    </w:rPr>
  </w:style>
  <w:style w:type="character" w:customStyle="1" w:styleId="UnresolvedMention1">
    <w:name w:val="Unresolved Mention1"/>
    <w:basedOn w:val="DefaultParagraphFont"/>
    <w:uiPriority w:val="99"/>
    <w:semiHidden/>
    <w:unhideWhenUsed/>
    <w:rsid w:val="00881C4B"/>
    <w:rPr>
      <w:color w:val="605E5C"/>
      <w:shd w:val="clear" w:color="auto" w:fill="E1DFDD"/>
    </w:rPr>
  </w:style>
  <w:style w:type="character" w:styleId="CommentReference">
    <w:name w:val="annotation reference"/>
    <w:basedOn w:val="DefaultParagraphFont"/>
    <w:uiPriority w:val="99"/>
    <w:semiHidden/>
    <w:unhideWhenUsed/>
    <w:rsid w:val="00D3463E"/>
    <w:rPr>
      <w:sz w:val="16"/>
      <w:szCs w:val="16"/>
    </w:rPr>
  </w:style>
  <w:style w:type="paragraph" w:styleId="CommentText">
    <w:name w:val="annotation text"/>
    <w:basedOn w:val="Normal"/>
    <w:link w:val="CommentTextChar"/>
    <w:uiPriority w:val="99"/>
    <w:unhideWhenUsed/>
    <w:rsid w:val="00D3463E"/>
    <w:rPr>
      <w:sz w:val="20"/>
      <w:szCs w:val="20"/>
    </w:rPr>
  </w:style>
  <w:style w:type="character" w:customStyle="1" w:styleId="CommentTextChar">
    <w:name w:val="Comment Text Char"/>
    <w:basedOn w:val="DefaultParagraphFont"/>
    <w:link w:val="CommentText"/>
    <w:uiPriority w:val="99"/>
    <w:rsid w:val="00D3463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3463E"/>
    <w:rPr>
      <w:b/>
      <w:bCs/>
    </w:rPr>
  </w:style>
  <w:style w:type="character" w:customStyle="1" w:styleId="CommentSubjectChar">
    <w:name w:val="Comment Subject Char"/>
    <w:basedOn w:val="CommentTextChar"/>
    <w:link w:val="CommentSubject"/>
    <w:uiPriority w:val="99"/>
    <w:semiHidden/>
    <w:rsid w:val="00D3463E"/>
    <w:rPr>
      <w:rFonts w:ascii="Arial" w:eastAsia="Arial" w:hAnsi="Arial" w:cs="Arial"/>
      <w:b/>
      <w:bCs/>
      <w:sz w:val="20"/>
      <w:szCs w:val="20"/>
      <w:lang w:val="en-GB" w:eastAsia="en-GB" w:bidi="en-GB"/>
    </w:rPr>
  </w:style>
  <w:style w:type="table" w:styleId="TableGrid">
    <w:name w:val="Table Grid"/>
    <w:basedOn w:val="TableNormal"/>
    <w:uiPriority w:val="39"/>
    <w:rsid w:val="00D95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sultations@cilexregul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12CBE7586DF49BD36E1AE03E89804" ma:contentTypeVersion="12" ma:contentTypeDescription="Create a new document." ma:contentTypeScope="" ma:versionID="f3a5d39a7dbecfc4bc4902d4ce598546">
  <xsd:schema xmlns:xsd="http://www.w3.org/2001/XMLSchema" xmlns:xs="http://www.w3.org/2001/XMLSchema" xmlns:p="http://schemas.microsoft.com/office/2006/metadata/properties" xmlns:ns3="047227ac-7b02-4bb4-a4b5-898690918644" xmlns:ns4="30aa3c21-c69a-4385-bd23-5c8494d579dd" targetNamespace="http://schemas.microsoft.com/office/2006/metadata/properties" ma:root="true" ma:fieldsID="7850be7fab12c4eb7be1cdf8f27b3fb2" ns3:_="" ns4:_="">
    <xsd:import namespace="047227ac-7b02-4bb4-a4b5-898690918644"/>
    <xsd:import namespace="30aa3c21-c69a-4385-bd23-5c8494d57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27ac-7b02-4bb4-a4b5-8986909186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a3c21-c69a-4385-bd23-5c8494d5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3A596-3EAD-4D50-BAAA-893863C5C89C}">
  <ds:schemaRefs>
    <ds:schemaRef ds:uri="http://schemas.microsoft.com/sharepoint/v3/contenttype/forms"/>
  </ds:schemaRefs>
</ds:datastoreItem>
</file>

<file path=customXml/itemProps2.xml><?xml version="1.0" encoding="utf-8"?>
<ds:datastoreItem xmlns:ds="http://schemas.openxmlformats.org/officeDocument/2006/customXml" ds:itemID="{47B6990F-19E2-409B-B74E-CED734743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4D713-2CCB-4F16-93E6-13A4C8B89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27ac-7b02-4bb4-a4b5-898690918644"/>
    <ds:schemaRef ds:uri="30aa3c21-c69a-4385-bd23-5c8494d5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Charnock</dc:creator>
  <cp:lastModifiedBy>Victoria Purtill</cp:lastModifiedBy>
  <cp:revision>2</cp:revision>
  <dcterms:created xsi:type="dcterms:W3CDTF">2021-07-16T09:50:00Z</dcterms:created>
  <dcterms:modified xsi:type="dcterms:W3CDTF">2021-07-16T09:50:00Z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Adobe InDesign 15.0 (Macintosh)</vt:lpwstr>
  </property>
  <property fmtid="{D5CDD505-2E9C-101B-9397-08002B2CF9AE}" pid="4" name="LastSaved">
    <vt:filetime>2020-02-09T00:00:00Z</vt:filetime>
  </property>
  <property fmtid="{D5CDD505-2E9C-101B-9397-08002B2CF9AE}" pid="5" name="ContentTypeId">
    <vt:lpwstr>0x01010076512CBE7586DF49BD36E1AE03E89804</vt:lpwstr>
  </property>
</Properties>
</file>